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10A697" w14:textId="77777777" w:rsidR="004B3334" w:rsidRDefault="00303E90" w:rsidP="0032294D">
      <w:pPr>
        <w:spacing w:after="3600"/>
        <w:jc w:val="center"/>
        <w:rPr>
          <w:rFonts w:ascii="Arial" w:hAnsi="Arial" w:cs="Arial"/>
          <w:iCs/>
          <w:color w:val="000000"/>
          <w:sz w:val="72"/>
          <w:szCs w:val="72"/>
        </w:rPr>
      </w:pPr>
      <w:r>
        <w:rPr>
          <w:noProof/>
          <w:lang w:eastAsia="en-AU"/>
        </w:rPr>
        <w:drawing>
          <wp:inline distT="0" distB="0" distL="0" distR="0" wp14:anchorId="1239ADF3" wp14:editId="49D2F8DA">
            <wp:extent cx="1001424" cy="990172"/>
            <wp:effectExtent l="0" t="0" r="8255" b="63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31234" cy="10196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ABF2E3" w14:textId="77777777" w:rsidR="00C74A6E" w:rsidRDefault="004B3334" w:rsidP="00C74A6E">
      <w:pPr>
        <w:spacing w:after="100" w:afterAutospacing="1"/>
        <w:jc w:val="center"/>
        <w:rPr>
          <w:rFonts w:ascii="Arial" w:hAnsi="Arial" w:cs="Arial"/>
          <w:iCs/>
          <w:color w:val="000000"/>
          <w:sz w:val="72"/>
          <w:szCs w:val="72"/>
        </w:rPr>
      </w:pPr>
      <w:r>
        <w:rPr>
          <w:rFonts w:ascii="Arial" w:hAnsi="Arial" w:cs="Arial"/>
          <w:iCs/>
          <w:color w:val="000000"/>
          <w:sz w:val="72"/>
          <w:szCs w:val="72"/>
        </w:rPr>
        <w:t>Work Health and Safety Policy</w:t>
      </w:r>
      <w:r w:rsidR="00C74A6E">
        <w:rPr>
          <w:rFonts w:ascii="Arial" w:hAnsi="Arial" w:cs="Arial"/>
          <w:iCs/>
          <w:color w:val="000000"/>
          <w:sz w:val="72"/>
          <w:szCs w:val="72"/>
        </w:rPr>
        <w:br/>
        <w:t>2021 – 2023</w:t>
      </w:r>
    </w:p>
    <w:p w14:paraId="2CC47030" w14:textId="417E2706" w:rsidR="004B3334" w:rsidRDefault="00C74A6E" w:rsidP="00C74A6E">
      <w:pPr>
        <w:spacing w:after="2640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Cs/>
          <w:color w:val="000000"/>
          <w:sz w:val="72"/>
          <w:szCs w:val="72"/>
        </w:rPr>
        <w:br/>
      </w:r>
      <w:r>
        <w:rPr>
          <w:rFonts w:ascii="Arial" w:hAnsi="Arial" w:cs="Arial"/>
          <w:iCs/>
          <w:color w:val="000000"/>
          <w:sz w:val="72"/>
          <w:szCs w:val="72"/>
        </w:rPr>
        <w:br/>
      </w:r>
      <w:r w:rsidR="00E51537" w:rsidRPr="00057E56">
        <w:rPr>
          <w:b/>
          <w:noProof/>
        </w:rPr>
        <w:drawing>
          <wp:inline distT="0" distB="0" distL="0" distR="0" wp14:anchorId="4EF4F45D" wp14:editId="264F727F">
            <wp:extent cx="1420495" cy="1426845"/>
            <wp:effectExtent l="0" t="0" r="8255" b="1905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0495" cy="14268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007390">
        <w:rPr>
          <w:rFonts w:ascii="Arial" w:hAnsi="Arial" w:cs="Arial"/>
        </w:rPr>
        <w:br/>
      </w:r>
      <w:r w:rsidR="004C1146">
        <w:rPr>
          <w:rFonts w:ascii="Arial" w:hAnsi="Arial" w:cs="Arial"/>
        </w:rPr>
        <w:t>Daryl Karp</w:t>
      </w:r>
      <w:r w:rsidR="004C1146" w:rsidRPr="00785380">
        <w:rPr>
          <w:rFonts w:ascii="Arial" w:hAnsi="Arial" w:cs="Arial"/>
        </w:rPr>
        <w:br/>
      </w:r>
      <w:r w:rsidR="004C1146">
        <w:rPr>
          <w:rFonts w:ascii="Arial" w:hAnsi="Arial" w:cs="Arial"/>
        </w:rPr>
        <w:t>Director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 w:rsidR="00A87205">
        <w:rPr>
          <w:rFonts w:ascii="Arial" w:hAnsi="Arial" w:cs="Arial"/>
        </w:rPr>
        <w:t>A</w:t>
      </w:r>
      <w:r w:rsidR="00E51537">
        <w:rPr>
          <w:rFonts w:ascii="Arial" w:hAnsi="Arial" w:cs="Arial"/>
        </w:rPr>
        <w:t>pril</w:t>
      </w:r>
      <w:r w:rsidR="004C1146">
        <w:rPr>
          <w:rFonts w:ascii="Arial" w:hAnsi="Arial" w:cs="Arial"/>
        </w:rPr>
        <w:t xml:space="preserve"> 20</w:t>
      </w:r>
      <w:r w:rsidR="00AD071D">
        <w:rPr>
          <w:rFonts w:ascii="Arial" w:hAnsi="Arial" w:cs="Arial"/>
        </w:rPr>
        <w:t>2</w:t>
      </w:r>
      <w:r w:rsidR="004C1146">
        <w:rPr>
          <w:rFonts w:ascii="Arial" w:hAnsi="Arial" w:cs="Arial"/>
        </w:rPr>
        <w:t>1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 w:rsidR="004C1146">
        <w:rPr>
          <w:rFonts w:ascii="Arial" w:hAnsi="Arial" w:cs="Arial"/>
          <w:i/>
          <w:sz w:val="16"/>
          <w:szCs w:val="16"/>
        </w:rPr>
        <w:t xml:space="preserve">Due for review </w:t>
      </w:r>
      <w:r w:rsidR="00E51537">
        <w:rPr>
          <w:rFonts w:ascii="Arial" w:hAnsi="Arial" w:cs="Arial"/>
          <w:i/>
          <w:sz w:val="16"/>
          <w:szCs w:val="16"/>
        </w:rPr>
        <w:t>April</w:t>
      </w:r>
      <w:r w:rsidR="00AD071D">
        <w:rPr>
          <w:rFonts w:ascii="Arial" w:hAnsi="Arial" w:cs="Arial"/>
          <w:i/>
          <w:sz w:val="16"/>
          <w:szCs w:val="16"/>
        </w:rPr>
        <w:t xml:space="preserve"> </w:t>
      </w:r>
      <w:r w:rsidR="00B83327">
        <w:rPr>
          <w:rFonts w:ascii="Arial" w:hAnsi="Arial" w:cs="Arial"/>
          <w:i/>
          <w:sz w:val="16"/>
          <w:szCs w:val="16"/>
        </w:rPr>
        <w:t>202</w:t>
      </w:r>
      <w:r w:rsidR="00AD071D">
        <w:rPr>
          <w:rFonts w:ascii="Arial" w:hAnsi="Arial" w:cs="Arial"/>
          <w:i/>
          <w:sz w:val="16"/>
          <w:szCs w:val="16"/>
        </w:rPr>
        <w:t>3</w:t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val="en-AU"/>
        </w:rPr>
        <w:id w:val="-1260057759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0710A88C" w14:textId="77777777" w:rsidR="004C1146" w:rsidRPr="009C0575" w:rsidRDefault="004C1146">
          <w:pPr>
            <w:pStyle w:val="TOCHeading"/>
            <w:rPr>
              <w:rFonts w:ascii="Arial" w:hAnsi="Arial" w:cs="Arial"/>
              <w:b/>
              <w:color w:val="auto"/>
              <w:sz w:val="22"/>
              <w:szCs w:val="22"/>
            </w:rPr>
          </w:pPr>
          <w:r w:rsidRPr="009C0575">
            <w:rPr>
              <w:rFonts w:ascii="Arial" w:hAnsi="Arial" w:cs="Arial"/>
              <w:b/>
              <w:color w:val="auto"/>
              <w:sz w:val="22"/>
              <w:szCs w:val="22"/>
            </w:rPr>
            <w:t>Contents</w:t>
          </w:r>
        </w:p>
        <w:p w14:paraId="251EC4CC" w14:textId="77777777" w:rsidR="00303E90" w:rsidRPr="009C0575" w:rsidRDefault="00303E90" w:rsidP="00303E90">
          <w:pPr>
            <w:rPr>
              <w:rFonts w:ascii="Arial" w:hAnsi="Arial" w:cs="Arial"/>
              <w:lang w:val="en-US"/>
            </w:rPr>
          </w:pPr>
        </w:p>
        <w:p w14:paraId="287099F5" w14:textId="77777777" w:rsidR="00D94688" w:rsidRPr="003B2FA8" w:rsidRDefault="004C1146">
          <w:pPr>
            <w:pStyle w:val="TOC1"/>
            <w:tabs>
              <w:tab w:val="right" w:leader="dot" w:pos="9016"/>
            </w:tabs>
            <w:rPr>
              <w:rFonts w:ascii="Arial" w:eastAsiaTheme="minorEastAsia" w:hAnsi="Arial" w:cs="Arial"/>
              <w:noProof/>
              <w:lang w:eastAsia="en-AU"/>
            </w:rPr>
          </w:pPr>
          <w:r w:rsidRPr="003B2FA8">
            <w:rPr>
              <w:rFonts w:ascii="Arial" w:hAnsi="Arial" w:cs="Arial"/>
              <w:b/>
              <w:bCs/>
              <w:noProof/>
            </w:rPr>
            <w:fldChar w:fldCharType="begin"/>
          </w:r>
          <w:r w:rsidRPr="00D94688">
            <w:rPr>
              <w:rFonts w:ascii="Arial" w:hAnsi="Arial" w:cs="Arial"/>
              <w:b/>
              <w:bCs/>
              <w:noProof/>
            </w:rPr>
            <w:instrText xml:space="preserve"> TOC \o "1-3" \h \z \u </w:instrText>
          </w:r>
          <w:r w:rsidRPr="003B2FA8">
            <w:rPr>
              <w:rFonts w:ascii="Arial" w:hAnsi="Arial" w:cs="Arial"/>
              <w:b/>
              <w:bCs/>
              <w:noProof/>
            </w:rPr>
            <w:fldChar w:fldCharType="separate"/>
          </w:r>
          <w:hyperlink w:anchor="_Toc58242953" w:history="1">
            <w:r w:rsidR="00D94688" w:rsidRPr="003B2FA8">
              <w:rPr>
                <w:rStyle w:val="Hyperlink"/>
                <w:rFonts w:ascii="Arial" w:hAnsi="Arial" w:cs="Arial"/>
                <w:noProof/>
              </w:rPr>
              <w:t>Introduction</w:t>
            </w:r>
            <w:r w:rsidR="00D94688" w:rsidRPr="003B2FA8">
              <w:rPr>
                <w:rFonts w:ascii="Arial" w:hAnsi="Arial" w:cs="Arial"/>
                <w:noProof/>
                <w:webHidden/>
              </w:rPr>
              <w:tab/>
            </w:r>
            <w:r w:rsidR="00D94688" w:rsidRPr="003B2FA8">
              <w:rPr>
                <w:rFonts w:ascii="Arial" w:hAnsi="Arial" w:cs="Arial"/>
                <w:noProof/>
                <w:webHidden/>
              </w:rPr>
              <w:fldChar w:fldCharType="begin"/>
            </w:r>
            <w:r w:rsidR="00D94688" w:rsidRPr="003B2FA8">
              <w:rPr>
                <w:rFonts w:ascii="Arial" w:hAnsi="Arial" w:cs="Arial"/>
                <w:noProof/>
                <w:webHidden/>
              </w:rPr>
              <w:instrText xml:space="preserve"> PAGEREF _Toc58242953 \h </w:instrText>
            </w:r>
            <w:r w:rsidR="00D94688" w:rsidRPr="003B2FA8">
              <w:rPr>
                <w:rFonts w:ascii="Arial" w:hAnsi="Arial" w:cs="Arial"/>
                <w:noProof/>
                <w:webHidden/>
              </w:rPr>
            </w:r>
            <w:r w:rsidR="00D94688" w:rsidRPr="003B2FA8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D94688" w:rsidRPr="003B2FA8">
              <w:rPr>
                <w:rFonts w:ascii="Arial" w:hAnsi="Arial" w:cs="Arial"/>
                <w:noProof/>
                <w:webHidden/>
              </w:rPr>
              <w:t>1</w:t>
            </w:r>
            <w:r w:rsidR="00D94688" w:rsidRPr="003B2FA8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02CF094D" w14:textId="77777777" w:rsidR="00D94688" w:rsidRPr="003B2FA8" w:rsidRDefault="00C74A6E">
          <w:pPr>
            <w:pStyle w:val="TOC1"/>
            <w:tabs>
              <w:tab w:val="right" w:leader="dot" w:pos="9016"/>
            </w:tabs>
            <w:rPr>
              <w:rFonts w:ascii="Arial" w:eastAsiaTheme="minorEastAsia" w:hAnsi="Arial" w:cs="Arial"/>
              <w:noProof/>
              <w:lang w:eastAsia="en-AU"/>
            </w:rPr>
          </w:pPr>
          <w:hyperlink w:anchor="_Toc58242954" w:history="1">
            <w:r w:rsidR="00D94688" w:rsidRPr="003B2FA8">
              <w:rPr>
                <w:rStyle w:val="Hyperlink"/>
                <w:rFonts w:ascii="Arial" w:hAnsi="Arial" w:cs="Arial"/>
                <w:noProof/>
              </w:rPr>
              <w:t>Objectives</w:t>
            </w:r>
            <w:r w:rsidR="00D94688" w:rsidRPr="003B2FA8">
              <w:rPr>
                <w:rFonts w:ascii="Arial" w:hAnsi="Arial" w:cs="Arial"/>
                <w:noProof/>
                <w:webHidden/>
              </w:rPr>
              <w:tab/>
            </w:r>
            <w:r w:rsidR="00D94688" w:rsidRPr="003B2FA8">
              <w:rPr>
                <w:rFonts w:ascii="Arial" w:hAnsi="Arial" w:cs="Arial"/>
                <w:noProof/>
                <w:webHidden/>
              </w:rPr>
              <w:fldChar w:fldCharType="begin"/>
            </w:r>
            <w:r w:rsidR="00D94688" w:rsidRPr="003B2FA8">
              <w:rPr>
                <w:rFonts w:ascii="Arial" w:hAnsi="Arial" w:cs="Arial"/>
                <w:noProof/>
                <w:webHidden/>
              </w:rPr>
              <w:instrText xml:space="preserve"> PAGEREF _Toc58242954 \h </w:instrText>
            </w:r>
            <w:r w:rsidR="00D94688" w:rsidRPr="003B2FA8">
              <w:rPr>
                <w:rFonts w:ascii="Arial" w:hAnsi="Arial" w:cs="Arial"/>
                <w:noProof/>
                <w:webHidden/>
              </w:rPr>
            </w:r>
            <w:r w:rsidR="00D94688" w:rsidRPr="003B2FA8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D94688" w:rsidRPr="003B2FA8">
              <w:rPr>
                <w:rFonts w:ascii="Arial" w:hAnsi="Arial" w:cs="Arial"/>
                <w:noProof/>
                <w:webHidden/>
              </w:rPr>
              <w:t>1</w:t>
            </w:r>
            <w:r w:rsidR="00D94688" w:rsidRPr="003B2FA8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5BA4726A" w14:textId="77777777" w:rsidR="00D94688" w:rsidRPr="003B2FA8" w:rsidRDefault="00C74A6E">
          <w:pPr>
            <w:pStyle w:val="TOC1"/>
            <w:tabs>
              <w:tab w:val="right" w:leader="dot" w:pos="9016"/>
            </w:tabs>
            <w:rPr>
              <w:rFonts w:ascii="Arial" w:eastAsiaTheme="minorEastAsia" w:hAnsi="Arial" w:cs="Arial"/>
              <w:noProof/>
              <w:lang w:eastAsia="en-AU"/>
            </w:rPr>
          </w:pPr>
          <w:hyperlink w:anchor="_Toc58242955" w:history="1">
            <w:r w:rsidR="00D94688" w:rsidRPr="003B2FA8">
              <w:rPr>
                <w:rStyle w:val="Hyperlink"/>
                <w:rFonts w:ascii="Arial" w:hAnsi="Arial" w:cs="Arial"/>
                <w:noProof/>
              </w:rPr>
              <w:t>Legislative Obligations</w:t>
            </w:r>
            <w:r w:rsidR="00D94688" w:rsidRPr="003B2FA8">
              <w:rPr>
                <w:rFonts w:ascii="Arial" w:hAnsi="Arial" w:cs="Arial"/>
                <w:noProof/>
                <w:webHidden/>
              </w:rPr>
              <w:tab/>
            </w:r>
            <w:r w:rsidR="00D94688" w:rsidRPr="003B2FA8">
              <w:rPr>
                <w:rFonts w:ascii="Arial" w:hAnsi="Arial" w:cs="Arial"/>
                <w:noProof/>
                <w:webHidden/>
              </w:rPr>
              <w:fldChar w:fldCharType="begin"/>
            </w:r>
            <w:r w:rsidR="00D94688" w:rsidRPr="003B2FA8">
              <w:rPr>
                <w:rFonts w:ascii="Arial" w:hAnsi="Arial" w:cs="Arial"/>
                <w:noProof/>
                <w:webHidden/>
              </w:rPr>
              <w:instrText xml:space="preserve"> PAGEREF _Toc58242955 \h </w:instrText>
            </w:r>
            <w:r w:rsidR="00D94688" w:rsidRPr="003B2FA8">
              <w:rPr>
                <w:rFonts w:ascii="Arial" w:hAnsi="Arial" w:cs="Arial"/>
                <w:noProof/>
                <w:webHidden/>
              </w:rPr>
            </w:r>
            <w:r w:rsidR="00D94688" w:rsidRPr="003B2FA8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D94688" w:rsidRPr="003B2FA8">
              <w:rPr>
                <w:rFonts w:ascii="Arial" w:hAnsi="Arial" w:cs="Arial"/>
                <w:noProof/>
                <w:webHidden/>
              </w:rPr>
              <w:t>2</w:t>
            </w:r>
            <w:r w:rsidR="00D94688" w:rsidRPr="003B2FA8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4EC62320" w14:textId="77777777" w:rsidR="00D94688" w:rsidRPr="003B2FA8" w:rsidRDefault="00C74A6E">
          <w:pPr>
            <w:pStyle w:val="TOC1"/>
            <w:tabs>
              <w:tab w:val="right" w:leader="dot" w:pos="9016"/>
            </w:tabs>
            <w:rPr>
              <w:rFonts w:ascii="Arial" w:eastAsiaTheme="minorEastAsia" w:hAnsi="Arial" w:cs="Arial"/>
              <w:noProof/>
              <w:lang w:eastAsia="en-AU"/>
            </w:rPr>
          </w:pPr>
          <w:hyperlink w:anchor="_Toc58242956" w:history="1">
            <w:r w:rsidR="00D94688" w:rsidRPr="003B2FA8">
              <w:rPr>
                <w:rStyle w:val="Hyperlink"/>
                <w:rFonts w:ascii="Arial" w:hAnsi="Arial" w:cs="Arial"/>
                <w:noProof/>
              </w:rPr>
              <w:t>Discriminatory, Coercive and Misleading conduct</w:t>
            </w:r>
            <w:r w:rsidR="00D94688" w:rsidRPr="003B2FA8">
              <w:rPr>
                <w:rFonts w:ascii="Arial" w:hAnsi="Arial" w:cs="Arial"/>
                <w:noProof/>
                <w:webHidden/>
              </w:rPr>
              <w:tab/>
            </w:r>
            <w:r w:rsidR="00D94688" w:rsidRPr="003B2FA8">
              <w:rPr>
                <w:rFonts w:ascii="Arial" w:hAnsi="Arial" w:cs="Arial"/>
                <w:noProof/>
                <w:webHidden/>
              </w:rPr>
              <w:fldChar w:fldCharType="begin"/>
            </w:r>
            <w:r w:rsidR="00D94688" w:rsidRPr="003B2FA8">
              <w:rPr>
                <w:rFonts w:ascii="Arial" w:hAnsi="Arial" w:cs="Arial"/>
                <w:noProof/>
                <w:webHidden/>
              </w:rPr>
              <w:instrText xml:space="preserve"> PAGEREF _Toc58242956 \h </w:instrText>
            </w:r>
            <w:r w:rsidR="00D94688" w:rsidRPr="003B2FA8">
              <w:rPr>
                <w:rFonts w:ascii="Arial" w:hAnsi="Arial" w:cs="Arial"/>
                <w:noProof/>
                <w:webHidden/>
              </w:rPr>
            </w:r>
            <w:r w:rsidR="00D94688" w:rsidRPr="003B2FA8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D94688" w:rsidRPr="003B2FA8">
              <w:rPr>
                <w:rFonts w:ascii="Arial" w:hAnsi="Arial" w:cs="Arial"/>
                <w:noProof/>
                <w:webHidden/>
              </w:rPr>
              <w:t>2</w:t>
            </w:r>
            <w:r w:rsidR="00D94688" w:rsidRPr="003B2FA8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223E7292" w14:textId="77777777" w:rsidR="00D94688" w:rsidRPr="003B2FA8" w:rsidRDefault="00C74A6E">
          <w:pPr>
            <w:pStyle w:val="TOC1"/>
            <w:tabs>
              <w:tab w:val="right" w:leader="dot" w:pos="9016"/>
            </w:tabs>
            <w:rPr>
              <w:rFonts w:ascii="Arial" w:eastAsiaTheme="minorEastAsia" w:hAnsi="Arial" w:cs="Arial"/>
              <w:noProof/>
              <w:lang w:eastAsia="en-AU"/>
            </w:rPr>
          </w:pPr>
          <w:hyperlink w:anchor="_Toc58242957" w:history="1">
            <w:r w:rsidR="00D94688" w:rsidRPr="003B2FA8">
              <w:rPr>
                <w:rStyle w:val="Hyperlink"/>
                <w:rFonts w:ascii="Arial" w:hAnsi="Arial" w:cs="Arial"/>
                <w:noProof/>
              </w:rPr>
              <w:t>Right to Cease Work</w:t>
            </w:r>
            <w:r w:rsidR="00D94688" w:rsidRPr="003B2FA8">
              <w:rPr>
                <w:rFonts w:ascii="Arial" w:hAnsi="Arial" w:cs="Arial"/>
                <w:noProof/>
                <w:webHidden/>
              </w:rPr>
              <w:tab/>
            </w:r>
            <w:r w:rsidR="00D94688" w:rsidRPr="003B2FA8">
              <w:rPr>
                <w:rFonts w:ascii="Arial" w:hAnsi="Arial" w:cs="Arial"/>
                <w:noProof/>
                <w:webHidden/>
              </w:rPr>
              <w:fldChar w:fldCharType="begin"/>
            </w:r>
            <w:r w:rsidR="00D94688" w:rsidRPr="003B2FA8">
              <w:rPr>
                <w:rFonts w:ascii="Arial" w:hAnsi="Arial" w:cs="Arial"/>
                <w:noProof/>
                <w:webHidden/>
              </w:rPr>
              <w:instrText xml:space="preserve"> PAGEREF _Toc58242957 \h </w:instrText>
            </w:r>
            <w:r w:rsidR="00D94688" w:rsidRPr="003B2FA8">
              <w:rPr>
                <w:rFonts w:ascii="Arial" w:hAnsi="Arial" w:cs="Arial"/>
                <w:noProof/>
                <w:webHidden/>
              </w:rPr>
            </w:r>
            <w:r w:rsidR="00D94688" w:rsidRPr="003B2FA8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D94688" w:rsidRPr="003B2FA8">
              <w:rPr>
                <w:rFonts w:ascii="Arial" w:hAnsi="Arial" w:cs="Arial"/>
                <w:noProof/>
                <w:webHidden/>
              </w:rPr>
              <w:t>2</w:t>
            </w:r>
            <w:r w:rsidR="00D94688" w:rsidRPr="003B2FA8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50BE0CC0" w14:textId="77777777" w:rsidR="00D94688" w:rsidRPr="003B2FA8" w:rsidRDefault="00C74A6E">
          <w:pPr>
            <w:pStyle w:val="TOC1"/>
            <w:tabs>
              <w:tab w:val="right" w:leader="dot" w:pos="9016"/>
            </w:tabs>
            <w:rPr>
              <w:rFonts w:ascii="Arial" w:eastAsiaTheme="minorEastAsia" w:hAnsi="Arial" w:cs="Arial"/>
              <w:noProof/>
              <w:lang w:eastAsia="en-AU"/>
            </w:rPr>
          </w:pPr>
          <w:hyperlink w:anchor="_Toc58242958" w:history="1">
            <w:r w:rsidR="00D94688" w:rsidRPr="003B2FA8">
              <w:rPr>
                <w:rStyle w:val="Hyperlink"/>
                <w:rFonts w:ascii="Arial" w:hAnsi="Arial" w:cs="Arial"/>
                <w:noProof/>
              </w:rPr>
              <w:t>Implementation</w:t>
            </w:r>
            <w:r w:rsidR="00D94688" w:rsidRPr="003B2FA8">
              <w:rPr>
                <w:rFonts w:ascii="Arial" w:hAnsi="Arial" w:cs="Arial"/>
                <w:noProof/>
                <w:webHidden/>
              </w:rPr>
              <w:tab/>
            </w:r>
            <w:r w:rsidR="00D94688" w:rsidRPr="003B2FA8">
              <w:rPr>
                <w:rFonts w:ascii="Arial" w:hAnsi="Arial" w:cs="Arial"/>
                <w:noProof/>
                <w:webHidden/>
              </w:rPr>
              <w:fldChar w:fldCharType="begin"/>
            </w:r>
            <w:r w:rsidR="00D94688" w:rsidRPr="003B2FA8">
              <w:rPr>
                <w:rFonts w:ascii="Arial" w:hAnsi="Arial" w:cs="Arial"/>
                <w:noProof/>
                <w:webHidden/>
              </w:rPr>
              <w:instrText xml:space="preserve"> PAGEREF _Toc58242958 \h </w:instrText>
            </w:r>
            <w:r w:rsidR="00D94688" w:rsidRPr="003B2FA8">
              <w:rPr>
                <w:rFonts w:ascii="Arial" w:hAnsi="Arial" w:cs="Arial"/>
                <w:noProof/>
                <w:webHidden/>
              </w:rPr>
            </w:r>
            <w:r w:rsidR="00D94688" w:rsidRPr="003B2FA8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D94688" w:rsidRPr="003B2FA8">
              <w:rPr>
                <w:rFonts w:ascii="Arial" w:hAnsi="Arial" w:cs="Arial"/>
                <w:noProof/>
                <w:webHidden/>
              </w:rPr>
              <w:t>2</w:t>
            </w:r>
            <w:r w:rsidR="00D94688" w:rsidRPr="003B2FA8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36B321A0" w14:textId="52642FAC" w:rsidR="004C1146" w:rsidRPr="004C1146" w:rsidRDefault="004C1146" w:rsidP="004C1146">
          <w:r w:rsidRPr="003B2FA8">
            <w:rPr>
              <w:rFonts w:ascii="Arial" w:hAnsi="Arial" w:cs="Arial"/>
              <w:b/>
              <w:bCs/>
              <w:noProof/>
            </w:rPr>
            <w:fldChar w:fldCharType="end"/>
          </w:r>
        </w:p>
      </w:sdtContent>
    </w:sdt>
    <w:p w14:paraId="111DC308" w14:textId="77777777" w:rsidR="003E6994" w:rsidRDefault="003E6994">
      <w:pPr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br w:type="page"/>
      </w:r>
    </w:p>
    <w:p w14:paraId="3DCFBD75" w14:textId="4A52DF9D" w:rsidR="00B83327" w:rsidRDefault="00A119DF" w:rsidP="00B83327">
      <w:pPr>
        <w:rPr>
          <w:rFonts w:ascii="Arial" w:hAnsi="Arial" w:cs="Arial"/>
          <w:b/>
        </w:rPr>
      </w:pPr>
      <w:bookmarkStart w:id="0" w:name="_Toc170627825"/>
      <w:bookmarkStart w:id="1" w:name="_Toc255548170"/>
      <w:bookmarkStart w:id="2" w:name="_Toc265073942"/>
      <w:r>
        <w:rPr>
          <w:rFonts w:ascii="Arial" w:hAnsi="Arial" w:cs="Arial"/>
          <w:b/>
        </w:rPr>
        <w:lastRenderedPageBreak/>
        <w:t>VERS</w:t>
      </w:r>
      <w:r w:rsidR="003B2FA8">
        <w:rPr>
          <w:rFonts w:ascii="Arial" w:hAnsi="Arial" w:cs="Arial"/>
          <w:b/>
        </w:rPr>
        <w:t>I</w:t>
      </w:r>
      <w:r>
        <w:rPr>
          <w:rFonts w:ascii="Arial" w:hAnsi="Arial" w:cs="Arial"/>
          <w:b/>
        </w:rPr>
        <w:t>ON CONTROL</w:t>
      </w:r>
    </w:p>
    <w:p w14:paraId="65A40A24" w14:textId="77777777" w:rsidR="00A119DF" w:rsidRDefault="00A119DF" w:rsidP="00B83327">
      <w:pPr>
        <w:rPr>
          <w:rFonts w:ascii="Arial" w:hAnsi="Arial" w:cs="Arial"/>
          <w:b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3"/>
        <w:gridCol w:w="1807"/>
        <w:gridCol w:w="2694"/>
        <w:gridCol w:w="3827"/>
      </w:tblGrid>
      <w:tr w:rsidR="00A119DF" w:rsidRPr="00C41294" w14:paraId="75FAE6F8" w14:textId="77777777" w:rsidTr="00A119DF">
        <w:trPr>
          <w:trHeight w:val="454"/>
        </w:trPr>
        <w:tc>
          <w:tcPr>
            <w:tcW w:w="1023" w:type="dxa"/>
            <w:shd w:val="clear" w:color="auto" w:fill="ACB9CA" w:themeFill="text2" w:themeFillTint="66"/>
            <w:vAlign w:val="center"/>
            <w:hideMark/>
          </w:tcPr>
          <w:bookmarkEnd w:id="0"/>
          <w:bookmarkEnd w:id="1"/>
          <w:bookmarkEnd w:id="2"/>
          <w:p w14:paraId="612602B5" w14:textId="77777777" w:rsidR="00A119DF" w:rsidRPr="00A119DF" w:rsidRDefault="00A119DF" w:rsidP="00A119DF">
            <w:pPr>
              <w:pStyle w:val="Tableheading"/>
              <w:rPr>
                <w:rFonts w:cs="Arial"/>
              </w:rPr>
            </w:pPr>
            <w:r w:rsidRPr="00A119DF">
              <w:rPr>
                <w:rFonts w:cs="Arial"/>
              </w:rPr>
              <w:t>V</w:t>
            </w:r>
            <w:r>
              <w:rPr>
                <w:rFonts w:cs="Arial"/>
              </w:rPr>
              <w:t>ersion</w:t>
            </w:r>
          </w:p>
        </w:tc>
        <w:tc>
          <w:tcPr>
            <w:tcW w:w="1807" w:type="dxa"/>
            <w:shd w:val="clear" w:color="auto" w:fill="ACB9CA" w:themeFill="text2" w:themeFillTint="66"/>
            <w:vAlign w:val="center"/>
          </w:tcPr>
          <w:p w14:paraId="0A42CEB8" w14:textId="77777777" w:rsidR="00A119DF" w:rsidRPr="00A119DF" w:rsidRDefault="00A119DF" w:rsidP="00A119DF">
            <w:pPr>
              <w:pStyle w:val="Tableheading"/>
              <w:rPr>
                <w:rFonts w:cs="Arial"/>
              </w:rPr>
            </w:pPr>
            <w:r>
              <w:rPr>
                <w:rFonts w:cs="Arial"/>
              </w:rPr>
              <w:t>Date</w:t>
            </w:r>
          </w:p>
        </w:tc>
        <w:tc>
          <w:tcPr>
            <w:tcW w:w="2694" w:type="dxa"/>
            <w:shd w:val="clear" w:color="auto" w:fill="ACB9CA" w:themeFill="text2" w:themeFillTint="66"/>
            <w:vAlign w:val="center"/>
          </w:tcPr>
          <w:p w14:paraId="40013113" w14:textId="77777777" w:rsidR="00A119DF" w:rsidRPr="00A119DF" w:rsidRDefault="00A119DF" w:rsidP="00A119DF">
            <w:pPr>
              <w:pStyle w:val="Tableheading"/>
              <w:rPr>
                <w:rFonts w:cs="Arial"/>
              </w:rPr>
            </w:pPr>
            <w:r>
              <w:rPr>
                <w:rFonts w:cs="Arial"/>
              </w:rPr>
              <w:t>Summary of Changes</w:t>
            </w:r>
          </w:p>
        </w:tc>
        <w:tc>
          <w:tcPr>
            <w:tcW w:w="3827" w:type="dxa"/>
            <w:shd w:val="clear" w:color="auto" w:fill="ACB9CA" w:themeFill="text2" w:themeFillTint="66"/>
            <w:vAlign w:val="center"/>
            <w:hideMark/>
          </w:tcPr>
          <w:p w14:paraId="08C483A4" w14:textId="77777777" w:rsidR="00A119DF" w:rsidRPr="00A119DF" w:rsidRDefault="00A119DF" w:rsidP="00A119DF">
            <w:pPr>
              <w:pStyle w:val="Tableheading"/>
              <w:rPr>
                <w:rFonts w:cs="Arial"/>
              </w:rPr>
            </w:pPr>
            <w:r>
              <w:rPr>
                <w:rFonts w:cs="Arial"/>
              </w:rPr>
              <w:t>Author / Reviewer</w:t>
            </w:r>
          </w:p>
        </w:tc>
      </w:tr>
      <w:tr w:rsidR="00A119DF" w:rsidRPr="00C41294" w14:paraId="78073A08" w14:textId="77777777" w:rsidTr="00A119DF">
        <w:trPr>
          <w:trHeight w:val="454"/>
        </w:trPr>
        <w:tc>
          <w:tcPr>
            <w:tcW w:w="1023" w:type="dxa"/>
            <w:vAlign w:val="center"/>
            <w:hideMark/>
          </w:tcPr>
          <w:p w14:paraId="357BA15E" w14:textId="77777777" w:rsidR="00A119DF" w:rsidRPr="00A119DF" w:rsidRDefault="00A119DF" w:rsidP="00A119DF">
            <w:pPr>
              <w:pStyle w:val="Tabletex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V</w:t>
            </w:r>
            <w:r w:rsidRPr="00A119DF">
              <w:rPr>
                <w:rFonts w:cs="Arial"/>
                <w:sz w:val="22"/>
                <w:szCs w:val="22"/>
              </w:rPr>
              <w:t>1.0</w:t>
            </w:r>
          </w:p>
        </w:tc>
        <w:tc>
          <w:tcPr>
            <w:tcW w:w="1807" w:type="dxa"/>
            <w:vAlign w:val="center"/>
          </w:tcPr>
          <w:p w14:paraId="62EA74EE" w14:textId="75983E74" w:rsidR="00A119DF" w:rsidRPr="00A119DF" w:rsidRDefault="00AD071D" w:rsidP="00A119DF">
            <w:pPr>
              <w:pStyle w:val="Tabletex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December 2020</w:t>
            </w:r>
          </w:p>
        </w:tc>
        <w:tc>
          <w:tcPr>
            <w:tcW w:w="2694" w:type="dxa"/>
            <w:vAlign w:val="center"/>
          </w:tcPr>
          <w:p w14:paraId="5794A9DF" w14:textId="2FE30D88" w:rsidR="00A119DF" w:rsidRPr="00A119DF" w:rsidRDefault="00AD071D" w:rsidP="00A119DF">
            <w:pPr>
              <w:pStyle w:val="Tabletex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Updated</w:t>
            </w:r>
            <w:r w:rsidRPr="00A119DF">
              <w:rPr>
                <w:rFonts w:cs="Arial"/>
                <w:sz w:val="22"/>
                <w:szCs w:val="22"/>
              </w:rPr>
              <w:t xml:space="preserve"> </w:t>
            </w:r>
            <w:r w:rsidR="00A119DF" w:rsidRPr="00A119DF">
              <w:rPr>
                <w:rFonts w:cs="Arial"/>
                <w:sz w:val="22"/>
                <w:szCs w:val="22"/>
              </w:rPr>
              <w:t>Policy - Draft</w:t>
            </w:r>
          </w:p>
        </w:tc>
        <w:tc>
          <w:tcPr>
            <w:tcW w:w="3827" w:type="dxa"/>
            <w:vAlign w:val="center"/>
          </w:tcPr>
          <w:p w14:paraId="7D45C0ED" w14:textId="77777777" w:rsidR="00A119DF" w:rsidRPr="00A119DF" w:rsidRDefault="00A119DF" w:rsidP="00A119DF">
            <w:pPr>
              <w:pStyle w:val="Tabletext"/>
              <w:rPr>
                <w:rFonts w:cs="Arial"/>
                <w:sz w:val="22"/>
                <w:szCs w:val="22"/>
              </w:rPr>
            </w:pPr>
            <w:r w:rsidRPr="00A119DF">
              <w:rPr>
                <w:rFonts w:cs="Arial"/>
                <w:sz w:val="22"/>
                <w:szCs w:val="22"/>
              </w:rPr>
              <w:t xml:space="preserve">Facilities </w:t>
            </w:r>
          </w:p>
        </w:tc>
      </w:tr>
      <w:tr w:rsidR="00A119DF" w:rsidRPr="00C41294" w14:paraId="1D68ED0D" w14:textId="77777777" w:rsidTr="00A119DF">
        <w:trPr>
          <w:trHeight w:val="454"/>
        </w:trPr>
        <w:tc>
          <w:tcPr>
            <w:tcW w:w="1023" w:type="dxa"/>
            <w:vAlign w:val="center"/>
            <w:hideMark/>
          </w:tcPr>
          <w:p w14:paraId="484A4183" w14:textId="77777777" w:rsidR="00A119DF" w:rsidRPr="00A119DF" w:rsidRDefault="00A119DF" w:rsidP="00A119DF">
            <w:pPr>
              <w:pStyle w:val="Tabletex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V</w:t>
            </w:r>
            <w:r w:rsidRPr="00A119DF">
              <w:rPr>
                <w:rFonts w:cs="Arial"/>
                <w:sz w:val="22"/>
                <w:szCs w:val="22"/>
              </w:rPr>
              <w:t>1.1</w:t>
            </w:r>
          </w:p>
        </w:tc>
        <w:tc>
          <w:tcPr>
            <w:tcW w:w="1807" w:type="dxa"/>
            <w:vAlign w:val="center"/>
          </w:tcPr>
          <w:p w14:paraId="63C01B20" w14:textId="746B5C89" w:rsidR="00A119DF" w:rsidRPr="00A119DF" w:rsidRDefault="00EB7BC0" w:rsidP="00A119DF">
            <w:pPr>
              <w:pStyle w:val="Tabletex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February </w:t>
            </w:r>
            <w:r w:rsidR="00160E1A">
              <w:rPr>
                <w:rFonts w:cs="Arial"/>
                <w:sz w:val="22"/>
                <w:szCs w:val="22"/>
              </w:rPr>
              <w:t>2021</w:t>
            </w:r>
          </w:p>
        </w:tc>
        <w:tc>
          <w:tcPr>
            <w:tcW w:w="2694" w:type="dxa"/>
            <w:vAlign w:val="center"/>
          </w:tcPr>
          <w:p w14:paraId="5BDD80FA" w14:textId="77777777" w:rsidR="00A119DF" w:rsidRPr="00A119DF" w:rsidRDefault="00A119DF" w:rsidP="00A119DF">
            <w:pPr>
              <w:pStyle w:val="Tabletext"/>
              <w:rPr>
                <w:rFonts w:cs="Arial"/>
                <w:sz w:val="22"/>
                <w:szCs w:val="22"/>
              </w:rPr>
            </w:pPr>
            <w:r w:rsidRPr="00A119DF">
              <w:rPr>
                <w:rFonts w:cs="Arial"/>
                <w:sz w:val="22"/>
                <w:szCs w:val="22"/>
              </w:rPr>
              <w:t>Consultation</w:t>
            </w:r>
          </w:p>
        </w:tc>
        <w:tc>
          <w:tcPr>
            <w:tcW w:w="3827" w:type="dxa"/>
            <w:vAlign w:val="center"/>
          </w:tcPr>
          <w:p w14:paraId="5BA9D54E" w14:textId="70210557" w:rsidR="00A119DF" w:rsidRPr="00A119DF" w:rsidRDefault="00A119DF" w:rsidP="00A119DF">
            <w:pPr>
              <w:pStyle w:val="Tabletext"/>
              <w:rPr>
                <w:rFonts w:cs="Arial"/>
                <w:sz w:val="22"/>
                <w:szCs w:val="22"/>
              </w:rPr>
            </w:pPr>
            <w:r w:rsidRPr="00A119DF">
              <w:rPr>
                <w:rFonts w:cs="Arial"/>
                <w:sz w:val="22"/>
                <w:szCs w:val="22"/>
              </w:rPr>
              <w:t xml:space="preserve">All Staff </w:t>
            </w:r>
            <w:r w:rsidR="00A32C14">
              <w:rPr>
                <w:rFonts w:cs="Arial"/>
                <w:sz w:val="22"/>
                <w:szCs w:val="22"/>
              </w:rPr>
              <w:t>and</w:t>
            </w:r>
            <w:r w:rsidRPr="00A119DF">
              <w:rPr>
                <w:rFonts w:cs="Arial"/>
                <w:sz w:val="22"/>
                <w:szCs w:val="22"/>
              </w:rPr>
              <w:t xml:space="preserve"> WHS Committee</w:t>
            </w:r>
          </w:p>
        </w:tc>
      </w:tr>
      <w:tr w:rsidR="00A119DF" w:rsidRPr="00C41294" w14:paraId="7BC82231" w14:textId="77777777" w:rsidTr="00A119DF">
        <w:trPr>
          <w:trHeight w:val="454"/>
        </w:trPr>
        <w:tc>
          <w:tcPr>
            <w:tcW w:w="1023" w:type="dxa"/>
            <w:vAlign w:val="center"/>
          </w:tcPr>
          <w:p w14:paraId="5D5ACBC9" w14:textId="77777777" w:rsidR="00A119DF" w:rsidRPr="00A119DF" w:rsidRDefault="00A119DF" w:rsidP="00A119DF">
            <w:pPr>
              <w:pStyle w:val="Tabletex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V</w:t>
            </w:r>
            <w:r w:rsidRPr="00A119DF">
              <w:rPr>
                <w:rFonts w:cs="Arial"/>
                <w:sz w:val="22"/>
                <w:szCs w:val="22"/>
              </w:rPr>
              <w:t>1.2</w:t>
            </w:r>
          </w:p>
        </w:tc>
        <w:tc>
          <w:tcPr>
            <w:tcW w:w="1807" w:type="dxa"/>
            <w:vAlign w:val="center"/>
          </w:tcPr>
          <w:p w14:paraId="7F48C378" w14:textId="0BE2AFEA" w:rsidR="00A119DF" w:rsidRPr="00A119DF" w:rsidRDefault="006348C4" w:rsidP="00A119DF">
            <w:pPr>
              <w:pStyle w:val="Tabletex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April 2021</w:t>
            </w:r>
          </w:p>
        </w:tc>
        <w:tc>
          <w:tcPr>
            <w:tcW w:w="2694" w:type="dxa"/>
            <w:vAlign w:val="center"/>
          </w:tcPr>
          <w:p w14:paraId="257FD08D" w14:textId="77777777" w:rsidR="00A119DF" w:rsidRPr="00A119DF" w:rsidRDefault="00A119DF" w:rsidP="00A119DF">
            <w:pPr>
              <w:pStyle w:val="Tabletext"/>
              <w:rPr>
                <w:rFonts w:cs="Arial"/>
                <w:sz w:val="22"/>
                <w:szCs w:val="22"/>
              </w:rPr>
            </w:pPr>
            <w:r w:rsidRPr="00A119DF">
              <w:rPr>
                <w:rFonts w:cs="Arial"/>
                <w:sz w:val="22"/>
                <w:szCs w:val="22"/>
              </w:rPr>
              <w:t xml:space="preserve">Endorsement </w:t>
            </w:r>
          </w:p>
        </w:tc>
        <w:tc>
          <w:tcPr>
            <w:tcW w:w="3827" w:type="dxa"/>
            <w:vAlign w:val="center"/>
          </w:tcPr>
          <w:p w14:paraId="337071BD" w14:textId="77777777" w:rsidR="00A119DF" w:rsidRPr="00A119DF" w:rsidRDefault="00A119DF" w:rsidP="00A119DF">
            <w:pPr>
              <w:pStyle w:val="Tabletext"/>
              <w:rPr>
                <w:rFonts w:cs="Arial"/>
                <w:sz w:val="22"/>
                <w:szCs w:val="22"/>
              </w:rPr>
            </w:pPr>
            <w:r w:rsidRPr="00A119DF">
              <w:rPr>
                <w:rFonts w:cs="Arial"/>
                <w:sz w:val="22"/>
                <w:szCs w:val="22"/>
              </w:rPr>
              <w:t>EMG</w:t>
            </w:r>
          </w:p>
        </w:tc>
      </w:tr>
      <w:tr w:rsidR="00A119DF" w:rsidRPr="00C41294" w14:paraId="240438CE" w14:textId="77777777" w:rsidTr="00A119DF">
        <w:trPr>
          <w:trHeight w:val="454"/>
        </w:trPr>
        <w:tc>
          <w:tcPr>
            <w:tcW w:w="1023" w:type="dxa"/>
            <w:vAlign w:val="center"/>
          </w:tcPr>
          <w:p w14:paraId="47D4BD64" w14:textId="77777777" w:rsidR="00A119DF" w:rsidRPr="00A119DF" w:rsidRDefault="00A119DF" w:rsidP="00A119DF">
            <w:pPr>
              <w:pStyle w:val="Tabletex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V</w:t>
            </w:r>
            <w:r w:rsidRPr="00A119DF">
              <w:rPr>
                <w:rFonts w:cs="Arial"/>
                <w:sz w:val="22"/>
                <w:szCs w:val="22"/>
              </w:rPr>
              <w:t>1.3</w:t>
            </w:r>
          </w:p>
        </w:tc>
        <w:tc>
          <w:tcPr>
            <w:tcW w:w="1807" w:type="dxa"/>
            <w:vAlign w:val="center"/>
          </w:tcPr>
          <w:p w14:paraId="47728E74" w14:textId="09D69032" w:rsidR="00A119DF" w:rsidRPr="00A119DF" w:rsidRDefault="006348C4" w:rsidP="00A119DF">
            <w:pPr>
              <w:pStyle w:val="Tabletex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April 2021</w:t>
            </w:r>
          </w:p>
        </w:tc>
        <w:tc>
          <w:tcPr>
            <w:tcW w:w="2694" w:type="dxa"/>
            <w:vAlign w:val="center"/>
          </w:tcPr>
          <w:p w14:paraId="10CFCBEA" w14:textId="77777777" w:rsidR="00A119DF" w:rsidRPr="00A119DF" w:rsidRDefault="00A119DF" w:rsidP="00A119DF">
            <w:pPr>
              <w:pStyle w:val="Tabletext"/>
              <w:rPr>
                <w:rFonts w:cs="Arial"/>
                <w:sz w:val="22"/>
                <w:szCs w:val="22"/>
              </w:rPr>
            </w:pPr>
            <w:r w:rsidRPr="00A119DF">
              <w:rPr>
                <w:rFonts w:cs="Arial"/>
                <w:sz w:val="22"/>
                <w:szCs w:val="22"/>
              </w:rPr>
              <w:t>Approved and Final</w:t>
            </w:r>
          </w:p>
        </w:tc>
        <w:tc>
          <w:tcPr>
            <w:tcW w:w="3827" w:type="dxa"/>
            <w:vAlign w:val="center"/>
          </w:tcPr>
          <w:p w14:paraId="0ECE8656" w14:textId="77777777" w:rsidR="00A119DF" w:rsidRPr="00A119DF" w:rsidRDefault="00A119DF" w:rsidP="00A119DF">
            <w:pPr>
              <w:pStyle w:val="Tabletext"/>
              <w:rPr>
                <w:rFonts w:cs="Arial"/>
                <w:sz w:val="22"/>
                <w:szCs w:val="22"/>
              </w:rPr>
            </w:pPr>
            <w:r w:rsidRPr="00A119DF">
              <w:rPr>
                <w:rFonts w:cs="Arial"/>
                <w:sz w:val="22"/>
                <w:szCs w:val="22"/>
              </w:rPr>
              <w:t>Director</w:t>
            </w:r>
          </w:p>
        </w:tc>
      </w:tr>
    </w:tbl>
    <w:p w14:paraId="51040D14" w14:textId="77777777" w:rsidR="00B83327" w:rsidRDefault="00B83327" w:rsidP="00B83327">
      <w:pPr>
        <w:spacing w:after="0"/>
      </w:pPr>
    </w:p>
    <w:p w14:paraId="237694BB" w14:textId="77777777" w:rsidR="00A965C7" w:rsidRDefault="00A965C7" w:rsidP="00B83327">
      <w:pPr>
        <w:spacing w:after="0"/>
      </w:pPr>
    </w:p>
    <w:p w14:paraId="173482F5" w14:textId="77777777" w:rsidR="00A965C7" w:rsidRDefault="00C3453C" w:rsidP="00B83327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Team responsible for overview and updates of the policy</w:t>
      </w:r>
    </w:p>
    <w:p w14:paraId="5490AD3F" w14:textId="77777777" w:rsidR="00C3453C" w:rsidRDefault="00C3453C" w:rsidP="00B83327">
      <w:pPr>
        <w:spacing w:after="0"/>
        <w:rPr>
          <w:rFonts w:ascii="Arial" w:hAnsi="Arial" w:cs="Arial"/>
        </w:rPr>
      </w:pPr>
    </w:p>
    <w:p w14:paraId="4D532539" w14:textId="00468585" w:rsidR="00C3453C" w:rsidRDefault="00C3453C" w:rsidP="00B83327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Facilities</w:t>
      </w:r>
      <w:r w:rsidR="00AD071D">
        <w:rPr>
          <w:rFonts w:ascii="Arial" w:hAnsi="Arial" w:cs="Arial"/>
        </w:rPr>
        <w:t>, Capital Projects and Security</w:t>
      </w:r>
    </w:p>
    <w:p w14:paraId="09C7E5A9" w14:textId="77777777" w:rsidR="00A119DF" w:rsidRDefault="00C74A6E" w:rsidP="00B83327">
      <w:pPr>
        <w:spacing w:after="0"/>
        <w:rPr>
          <w:rFonts w:ascii="Arial" w:hAnsi="Arial" w:cs="Arial"/>
        </w:rPr>
      </w:pPr>
      <w:hyperlink r:id="rId10" w:history="1">
        <w:r w:rsidR="00C3453C" w:rsidRPr="000E467D">
          <w:rPr>
            <w:rStyle w:val="Hyperlink"/>
            <w:rFonts w:ascii="Arial" w:hAnsi="Arial" w:cs="Arial"/>
          </w:rPr>
          <w:t>facilities@moadoph.gov.au</w:t>
        </w:r>
      </w:hyperlink>
      <w:r w:rsidR="00C3453C">
        <w:rPr>
          <w:rFonts w:ascii="Arial" w:hAnsi="Arial" w:cs="Arial"/>
        </w:rPr>
        <w:t xml:space="preserve"> </w:t>
      </w:r>
    </w:p>
    <w:p w14:paraId="54C231BA" w14:textId="77777777" w:rsidR="005309AC" w:rsidRDefault="005309AC" w:rsidP="00B83327">
      <w:pPr>
        <w:spacing w:after="0"/>
        <w:rPr>
          <w:rFonts w:ascii="Arial" w:hAnsi="Arial" w:cs="Arial"/>
        </w:rPr>
      </w:pPr>
    </w:p>
    <w:p w14:paraId="38FA824A" w14:textId="77777777" w:rsidR="0016559B" w:rsidRDefault="0016559B" w:rsidP="00B83327">
      <w:pPr>
        <w:spacing w:after="0"/>
        <w:rPr>
          <w:rFonts w:ascii="Arial" w:hAnsi="Arial" w:cs="Arial"/>
        </w:rPr>
        <w:sectPr w:rsidR="0016559B" w:rsidSect="00C42B9C">
          <w:pgSz w:w="11906" w:h="16838"/>
          <w:pgMar w:top="1440" w:right="1440" w:bottom="1440" w:left="1440" w:header="708" w:footer="708" w:gutter="0"/>
          <w:pgNumType w:start="1"/>
          <w:cols w:space="708"/>
          <w:titlePg/>
          <w:docGrid w:linePitch="360"/>
        </w:sectPr>
      </w:pPr>
    </w:p>
    <w:p w14:paraId="7D6522ED" w14:textId="77777777" w:rsidR="00A77FA6" w:rsidRPr="0018581E" w:rsidRDefault="00A77FA6" w:rsidP="00A77FA6">
      <w:pPr>
        <w:pStyle w:val="Heading1"/>
      </w:pPr>
      <w:bookmarkStart w:id="3" w:name="_Toc444504594"/>
      <w:bookmarkStart w:id="4" w:name="_Toc58242953"/>
      <w:r w:rsidRPr="0018581E">
        <w:lastRenderedPageBreak/>
        <w:t>Introduction</w:t>
      </w:r>
      <w:bookmarkEnd w:id="3"/>
      <w:bookmarkEnd w:id="4"/>
    </w:p>
    <w:p w14:paraId="2BF9DA55" w14:textId="663479D6" w:rsidR="00A77FA6" w:rsidRPr="0018581E" w:rsidRDefault="00A77FA6" w:rsidP="00A77FA6">
      <w:pPr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Pr="0018581E">
        <w:rPr>
          <w:rFonts w:ascii="Arial" w:hAnsi="Arial" w:cs="Arial"/>
        </w:rPr>
        <w:t>he Museum of Australian Democracy at Old Parliament House (</w:t>
      </w:r>
      <w:r w:rsidR="00261D70">
        <w:rPr>
          <w:rFonts w:ascii="Arial" w:hAnsi="Arial" w:cs="Arial"/>
        </w:rPr>
        <w:t>the Agency</w:t>
      </w:r>
      <w:r w:rsidRPr="0018581E">
        <w:rPr>
          <w:rFonts w:ascii="Arial" w:hAnsi="Arial" w:cs="Arial"/>
        </w:rPr>
        <w:t>) is committed to providing and maintaining a safe and healthy workplace for all its employees, contractors</w:t>
      </w:r>
      <w:r>
        <w:rPr>
          <w:rFonts w:ascii="Arial" w:hAnsi="Arial" w:cs="Arial"/>
        </w:rPr>
        <w:t>, volunteers</w:t>
      </w:r>
      <w:r w:rsidRPr="0018581E">
        <w:rPr>
          <w:rFonts w:ascii="Arial" w:hAnsi="Arial" w:cs="Arial"/>
        </w:rPr>
        <w:t xml:space="preserve"> and visitors.</w:t>
      </w:r>
    </w:p>
    <w:p w14:paraId="2B39A8A6" w14:textId="44B17CDC" w:rsidR="00A77FA6" w:rsidRDefault="00261D70" w:rsidP="00A77FA6">
      <w:pPr>
        <w:rPr>
          <w:rFonts w:ascii="Arial" w:hAnsi="Arial" w:cs="Arial"/>
        </w:rPr>
      </w:pPr>
      <w:r>
        <w:rPr>
          <w:rFonts w:ascii="Arial" w:hAnsi="Arial" w:cs="Arial"/>
        </w:rPr>
        <w:t>The Agency</w:t>
      </w:r>
      <w:r w:rsidR="00A77FA6" w:rsidRPr="0018581E">
        <w:rPr>
          <w:rFonts w:ascii="Arial" w:hAnsi="Arial" w:cs="Arial"/>
        </w:rPr>
        <w:t xml:space="preserve"> aims to achieve high standards of health, safety and rehabilitation in all its workplaces and operations by providing safe systems of work to prevent injuries and illnesses.</w:t>
      </w:r>
    </w:p>
    <w:p w14:paraId="5E07C3DE" w14:textId="42376498" w:rsidR="007C5CA6" w:rsidRPr="0018581E" w:rsidRDefault="007C5CA6" w:rsidP="00A77FA6">
      <w:pPr>
        <w:rPr>
          <w:rFonts w:ascii="Arial" w:hAnsi="Arial" w:cs="Arial"/>
        </w:rPr>
      </w:pPr>
      <w:r>
        <w:rPr>
          <w:rFonts w:ascii="Arial" w:hAnsi="Arial" w:cs="Arial"/>
        </w:rPr>
        <w:t xml:space="preserve">To achieve this, </w:t>
      </w:r>
      <w:r w:rsidR="00261D70">
        <w:rPr>
          <w:rFonts w:ascii="Arial" w:hAnsi="Arial" w:cs="Arial"/>
        </w:rPr>
        <w:t>the Agency</w:t>
      </w:r>
      <w:r>
        <w:rPr>
          <w:rFonts w:ascii="Arial" w:hAnsi="Arial" w:cs="Arial"/>
        </w:rPr>
        <w:t xml:space="preserve"> will ensure:</w:t>
      </w:r>
    </w:p>
    <w:p w14:paraId="6AF1F423" w14:textId="00D392F4" w:rsidR="00A77FA6" w:rsidRPr="0018581E" w:rsidRDefault="00D94688" w:rsidP="00A77FA6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A77FA6" w:rsidRPr="0018581E">
        <w:rPr>
          <w:rFonts w:ascii="Arial" w:hAnsi="Arial" w:cs="Arial"/>
        </w:rPr>
        <w:t xml:space="preserve">ompliance with relevant laws, including the </w:t>
      </w:r>
      <w:r w:rsidR="00A77FA6" w:rsidRPr="0018581E">
        <w:rPr>
          <w:rFonts w:ascii="Arial" w:hAnsi="Arial" w:cs="Arial"/>
          <w:i/>
        </w:rPr>
        <w:t xml:space="preserve">Work Health and Safety </w:t>
      </w:r>
      <w:r w:rsidR="00A77FA6">
        <w:rPr>
          <w:rFonts w:ascii="Arial" w:hAnsi="Arial" w:cs="Arial"/>
          <w:i/>
        </w:rPr>
        <w:t xml:space="preserve">(WHS) </w:t>
      </w:r>
      <w:r w:rsidR="00A77FA6" w:rsidRPr="0018581E">
        <w:rPr>
          <w:rFonts w:ascii="Arial" w:hAnsi="Arial" w:cs="Arial"/>
          <w:i/>
        </w:rPr>
        <w:t>Act 2011</w:t>
      </w:r>
      <w:r w:rsidR="00067834">
        <w:rPr>
          <w:rFonts w:ascii="Arial" w:hAnsi="Arial" w:cs="Arial"/>
          <w:i/>
        </w:rPr>
        <w:t xml:space="preserve"> </w:t>
      </w:r>
      <w:r w:rsidR="00A77FA6" w:rsidRPr="00E61168">
        <w:rPr>
          <w:rFonts w:ascii="Arial" w:hAnsi="Arial" w:cs="Arial"/>
        </w:rPr>
        <w:t>(WHS Act)</w:t>
      </w:r>
      <w:r>
        <w:rPr>
          <w:rFonts w:ascii="Arial" w:hAnsi="Arial" w:cs="Arial"/>
        </w:rPr>
        <w:t>;</w:t>
      </w:r>
    </w:p>
    <w:p w14:paraId="5F2FD069" w14:textId="12A06A74" w:rsidR="00A77FA6" w:rsidRDefault="00D94688" w:rsidP="00A77FA6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="007C5CA6">
        <w:rPr>
          <w:rFonts w:ascii="Arial" w:hAnsi="Arial" w:cs="Arial"/>
        </w:rPr>
        <w:t xml:space="preserve">aintenance </w:t>
      </w:r>
      <w:r w:rsidR="00067834">
        <w:rPr>
          <w:rFonts w:ascii="Arial" w:hAnsi="Arial" w:cs="Arial"/>
        </w:rPr>
        <w:t>with</w:t>
      </w:r>
      <w:r w:rsidR="007C5CA6">
        <w:rPr>
          <w:rFonts w:ascii="Arial" w:hAnsi="Arial" w:cs="Arial"/>
        </w:rPr>
        <w:t xml:space="preserve"> a focus on</w:t>
      </w:r>
      <w:r w:rsidR="00A77FA6" w:rsidRPr="0018581E">
        <w:rPr>
          <w:rFonts w:ascii="Arial" w:hAnsi="Arial" w:cs="Arial"/>
        </w:rPr>
        <w:t xml:space="preserve"> prevention </w:t>
      </w:r>
      <w:r w:rsidR="00A77FA6">
        <w:rPr>
          <w:rFonts w:ascii="Arial" w:hAnsi="Arial" w:cs="Arial"/>
        </w:rPr>
        <w:t>of workplace injury and disease</w:t>
      </w:r>
      <w:r>
        <w:rPr>
          <w:rFonts w:ascii="Arial" w:hAnsi="Arial" w:cs="Arial"/>
        </w:rPr>
        <w:t>;</w:t>
      </w:r>
    </w:p>
    <w:p w14:paraId="485B22FC" w14:textId="77777777" w:rsidR="00A77FA6" w:rsidRPr="0018581E" w:rsidRDefault="007C5CA6" w:rsidP="00A77FA6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A77FA6">
        <w:rPr>
          <w:rFonts w:ascii="Arial" w:hAnsi="Arial" w:cs="Arial"/>
        </w:rPr>
        <w:t xml:space="preserve">ompliance with fitness for duty standards of all </w:t>
      </w:r>
      <w:r w:rsidR="00A77FA6" w:rsidRPr="0018581E">
        <w:rPr>
          <w:rFonts w:ascii="Arial" w:hAnsi="Arial" w:cs="Arial"/>
        </w:rPr>
        <w:t xml:space="preserve">‘workers’ (as defined in the </w:t>
      </w:r>
      <w:r w:rsidR="00A77FA6">
        <w:rPr>
          <w:rFonts w:ascii="Arial" w:hAnsi="Arial" w:cs="Arial"/>
          <w:i/>
        </w:rPr>
        <w:t>WHS</w:t>
      </w:r>
      <w:r w:rsidR="00A77FA6" w:rsidRPr="0018581E">
        <w:rPr>
          <w:rFonts w:ascii="Arial" w:hAnsi="Arial" w:cs="Arial"/>
          <w:i/>
        </w:rPr>
        <w:t xml:space="preserve"> Act 2011)</w:t>
      </w:r>
      <w:r w:rsidR="00D94688">
        <w:rPr>
          <w:rFonts w:ascii="Arial" w:hAnsi="Arial" w:cs="Arial"/>
          <w:i/>
        </w:rPr>
        <w:t>;</w:t>
      </w:r>
    </w:p>
    <w:p w14:paraId="6B5A0B64" w14:textId="1974E3CC" w:rsidR="00A77FA6" w:rsidRPr="00EA7FF3" w:rsidRDefault="00D94688" w:rsidP="00A77FA6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an a</w:t>
      </w:r>
      <w:r w:rsidR="00A77FA6" w:rsidRPr="00EA7FF3">
        <w:rPr>
          <w:rFonts w:ascii="Arial" w:hAnsi="Arial" w:cs="Arial"/>
        </w:rPr>
        <w:t>ctive</w:t>
      </w:r>
      <w:r w:rsidR="00EA7FF3" w:rsidRPr="003B2FA8">
        <w:rPr>
          <w:rFonts w:ascii="Arial" w:hAnsi="Arial" w:cs="Arial"/>
        </w:rPr>
        <w:t>, engaged and committed</w:t>
      </w:r>
      <w:r w:rsidR="00A77FA6" w:rsidRPr="00EA7FF3">
        <w:rPr>
          <w:rFonts w:ascii="Arial" w:hAnsi="Arial" w:cs="Arial"/>
        </w:rPr>
        <w:t xml:space="preserve"> senior </w:t>
      </w:r>
      <w:r w:rsidR="003B2FA8">
        <w:rPr>
          <w:rFonts w:ascii="Arial" w:hAnsi="Arial" w:cs="Arial"/>
        </w:rPr>
        <w:t xml:space="preserve">management </w:t>
      </w:r>
      <w:proofErr w:type="gramStart"/>
      <w:r w:rsidR="00BE74EC">
        <w:rPr>
          <w:rFonts w:ascii="Arial" w:hAnsi="Arial" w:cs="Arial"/>
        </w:rPr>
        <w:t>team</w:t>
      </w:r>
      <w:r>
        <w:rPr>
          <w:rFonts w:ascii="Arial" w:hAnsi="Arial" w:cs="Arial"/>
        </w:rPr>
        <w:t>;</w:t>
      </w:r>
      <w:proofErr w:type="gramEnd"/>
    </w:p>
    <w:p w14:paraId="7873E01B" w14:textId="744B669B" w:rsidR="00A77FA6" w:rsidRPr="0018581E" w:rsidRDefault="00D94688" w:rsidP="00A77FA6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u</w:t>
      </w:r>
      <w:r w:rsidR="00A77FA6" w:rsidRPr="0018581E">
        <w:rPr>
          <w:rFonts w:ascii="Arial" w:hAnsi="Arial" w:cs="Arial"/>
        </w:rPr>
        <w:t>nderstanding of and compliance with obligations from each individual in the workplace</w:t>
      </w:r>
      <w:r>
        <w:rPr>
          <w:rFonts w:ascii="Arial" w:hAnsi="Arial" w:cs="Arial"/>
        </w:rPr>
        <w:t>;</w:t>
      </w:r>
    </w:p>
    <w:p w14:paraId="1069517D" w14:textId="0BAC3C00" w:rsidR="00A77FA6" w:rsidRPr="0018581E" w:rsidRDefault="00D94688" w:rsidP="00A77FA6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A77FA6" w:rsidRPr="0018581E">
        <w:rPr>
          <w:rFonts w:ascii="Arial" w:hAnsi="Arial" w:cs="Arial"/>
        </w:rPr>
        <w:t xml:space="preserve">ommunication and consultation between all relevant parties including </w:t>
      </w:r>
      <w:r w:rsidR="00A77FA6">
        <w:rPr>
          <w:rFonts w:ascii="Arial" w:hAnsi="Arial" w:cs="Arial"/>
        </w:rPr>
        <w:t>contract providers</w:t>
      </w:r>
      <w:r>
        <w:rPr>
          <w:rFonts w:ascii="Arial" w:hAnsi="Arial" w:cs="Arial"/>
        </w:rPr>
        <w:t>;</w:t>
      </w:r>
    </w:p>
    <w:p w14:paraId="3367EE9E" w14:textId="6A61AC4B" w:rsidR="00A77FA6" w:rsidRPr="0018581E" w:rsidRDefault="00D94688" w:rsidP="00A77FA6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u</w:t>
      </w:r>
      <w:r w:rsidR="00067834">
        <w:rPr>
          <w:rFonts w:ascii="Arial" w:hAnsi="Arial" w:cs="Arial"/>
        </w:rPr>
        <w:t>ndertaking</w:t>
      </w:r>
      <w:r w:rsidR="00067834" w:rsidRPr="0018581E">
        <w:rPr>
          <w:rFonts w:ascii="Arial" w:hAnsi="Arial" w:cs="Arial"/>
        </w:rPr>
        <w:t xml:space="preserve"> </w:t>
      </w:r>
      <w:r w:rsidR="00A77FA6" w:rsidRPr="0018581E">
        <w:rPr>
          <w:rFonts w:ascii="Arial" w:hAnsi="Arial" w:cs="Arial"/>
        </w:rPr>
        <w:t>hazard identification, r</w:t>
      </w:r>
      <w:r w:rsidR="00A77FA6">
        <w:rPr>
          <w:rFonts w:ascii="Arial" w:hAnsi="Arial" w:cs="Arial"/>
        </w:rPr>
        <w:t>isk assessment and risk control</w:t>
      </w:r>
      <w:r>
        <w:rPr>
          <w:rFonts w:ascii="Arial" w:hAnsi="Arial" w:cs="Arial"/>
        </w:rPr>
        <w:t>;</w:t>
      </w:r>
    </w:p>
    <w:p w14:paraId="353A04CE" w14:textId="401BB806" w:rsidR="00A77FA6" w:rsidRPr="0018581E" w:rsidRDefault="00D94688" w:rsidP="00A77FA6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A77FA6" w:rsidRPr="0018581E">
        <w:rPr>
          <w:rFonts w:ascii="Arial" w:hAnsi="Arial" w:cs="Arial"/>
        </w:rPr>
        <w:t>rompt r</w:t>
      </w:r>
      <w:r w:rsidR="00A77FA6">
        <w:rPr>
          <w:rFonts w:ascii="Arial" w:hAnsi="Arial" w:cs="Arial"/>
        </w:rPr>
        <w:t>esolution of issues including i</w:t>
      </w:r>
      <w:r w:rsidR="00A77FA6" w:rsidRPr="0018581E">
        <w:rPr>
          <w:rFonts w:ascii="Arial" w:hAnsi="Arial" w:cs="Arial"/>
        </w:rPr>
        <w:t>dentified risks</w:t>
      </w:r>
      <w:r>
        <w:rPr>
          <w:rFonts w:ascii="Arial" w:hAnsi="Arial" w:cs="Arial"/>
        </w:rPr>
        <w:t>;</w:t>
      </w:r>
    </w:p>
    <w:p w14:paraId="0DD731C6" w14:textId="026FA4E9" w:rsidR="00A77FA6" w:rsidRPr="0018581E" w:rsidRDefault="00D94688" w:rsidP="00A77FA6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A77FA6" w:rsidRPr="0018581E">
        <w:rPr>
          <w:rFonts w:ascii="Arial" w:hAnsi="Arial" w:cs="Arial"/>
        </w:rPr>
        <w:t>rovision of information, education</w:t>
      </w:r>
      <w:r w:rsidR="00A77FA6">
        <w:rPr>
          <w:rFonts w:ascii="Arial" w:hAnsi="Arial" w:cs="Arial"/>
        </w:rPr>
        <w:t xml:space="preserve">, and training including </w:t>
      </w:r>
      <w:r w:rsidR="00067834">
        <w:rPr>
          <w:rFonts w:ascii="Arial" w:hAnsi="Arial" w:cs="Arial"/>
        </w:rPr>
        <w:t xml:space="preserve">contractor </w:t>
      </w:r>
      <w:r w:rsidR="00A77FA6">
        <w:rPr>
          <w:rFonts w:ascii="Arial" w:hAnsi="Arial" w:cs="Arial"/>
        </w:rPr>
        <w:t>induction</w:t>
      </w:r>
      <w:r w:rsidR="00067834">
        <w:rPr>
          <w:rFonts w:ascii="Arial" w:hAnsi="Arial" w:cs="Arial"/>
        </w:rPr>
        <w:t xml:space="preserve"> and staff training</w:t>
      </w:r>
      <w:r>
        <w:rPr>
          <w:rFonts w:ascii="Arial" w:hAnsi="Arial" w:cs="Arial"/>
        </w:rPr>
        <w:t>;</w:t>
      </w:r>
    </w:p>
    <w:p w14:paraId="139D31BA" w14:textId="3EB8BEFF" w:rsidR="00A77FA6" w:rsidRPr="0018581E" w:rsidRDefault="00D94688" w:rsidP="00A77FA6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A77FA6" w:rsidRPr="0018581E">
        <w:rPr>
          <w:rFonts w:ascii="Arial" w:hAnsi="Arial" w:cs="Arial"/>
        </w:rPr>
        <w:t>romotion of health and wellbeing for all ‘workers’</w:t>
      </w:r>
      <w:r>
        <w:rPr>
          <w:rFonts w:ascii="Arial" w:hAnsi="Arial" w:cs="Arial"/>
        </w:rPr>
        <w:t>; and</w:t>
      </w:r>
    </w:p>
    <w:p w14:paraId="10897A46" w14:textId="763C998B" w:rsidR="00A77FA6" w:rsidRDefault="00D94688" w:rsidP="00A77FA6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A77FA6" w:rsidRPr="0018581E">
        <w:rPr>
          <w:rFonts w:ascii="Arial" w:hAnsi="Arial" w:cs="Arial"/>
        </w:rPr>
        <w:t>ontinuous improvement of work health and safety performanc</w:t>
      </w:r>
      <w:r w:rsidR="00067834">
        <w:rPr>
          <w:rFonts w:ascii="Arial" w:hAnsi="Arial" w:cs="Arial"/>
        </w:rPr>
        <w:t>e</w:t>
      </w:r>
      <w:r>
        <w:rPr>
          <w:rFonts w:ascii="Arial" w:hAnsi="Arial" w:cs="Arial"/>
        </w:rPr>
        <w:t>.</w:t>
      </w:r>
    </w:p>
    <w:p w14:paraId="052490C5" w14:textId="77777777" w:rsidR="00A77FA6" w:rsidRPr="0018581E" w:rsidRDefault="00A77FA6" w:rsidP="00A77FA6">
      <w:pPr>
        <w:pStyle w:val="Heading1"/>
      </w:pPr>
      <w:bookmarkStart w:id="5" w:name="_Toc312155467"/>
      <w:bookmarkStart w:id="6" w:name="_Toc444504595"/>
      <w:bookmarkStart w:id="7" w:name="_Toc58242954"/>
      <w:r w:rsidRPr="0018581E">
        <w:t>Objectives</w:t>
      </w:r>
      <w:bookmarkEnd w:id="5"/>
      <w:bookmarkEnd w:id="6"/>
      <w:bookmarkEnd w:id="7"/>
    </w:p>
    <w:p w14:paraId="66D29807" w14:textId="77777777" w:rsidR="00A77FA6" w:rsidRPr="0018581E" w:rsidRDefault="00A77FA6" w:rsidP="00A77FA6">
      <w:pPr>
        <w:rPr>
          <w:rFonts w:ascii="Arial" w:hAnsi="Arial" w:cs="Arial"/>
        </w:rPr>
      </w:pPr>
      <w:r w:rsidRPr="0018581E">
        <w:rPr>
          <w:rFonts w:ascii="Arial" w:hAnsi="Arial" w:cs="Arial"/>
        </w:rPr>
        <w:t xml:space="preserve">The Work Health and Safety </w:t>
      </w:r>
      <w:r>
        <w:rPr>
          <w:rFonts w:ascii="Arial" w:hAnsi="Arial" w:cs="Arial"/>
        </w:rPr>
        <w:t>Policy</w:t>
      </w:r>
      <w:r w:rsidRPr="0018581E">
        <w:rPr>
          <w:rFonts w:ascii="Arial" w:hAnsi="Arial" w:cs="Arial"/>
        </w:rPr>
        <w:t xml:space="preserve"> aims to:</w:t>
      </w:r>
    </w:p>
    <w:p w14:paraId="381F22CE" w14:textId="77777777" w:rsidR="00A77FA6" w:rsidRPr="0018581E" w:rsidRDefault="00A77FA6" w:rsidP="00A77FA6">
      <w:pPr>
        <w:pStyle w:val="ListParagraph"/>
        <w:numPr>
          <w:ilvl w:val="0"/>
          <w:numId w:val="2"/>
        </w:numPr>
        <w:ind w:left="714" w:hanging="357"/>
        <w:rPr>
          <w:rFonts w:ascii="Arial" w:hAnsi="Arial" w:cs="Arial"/>
          <w:sz w:val="22"/>
          <w:szCs w:val="22"/>
        </w:rPr>
      </w:pPr>
      <w:r w:rsidRPr="0018581E">
        <w:rPr>
          <w:rFonts w:ascii="Arial" w:hAnsi="Arial" w:cs="Arial"/>
          <w:sz w:val="22"/>
          <w:szCs w:val="22"/>
        </w:rPr>
        <w:t xml:space="preserve">develop </w:t>
      </w:r>
      <w:r w:rsidRPr="0018581E">
        <w:rPr>
          <w:rFonts w:ascii="Arial" w:hAnsi="Arial" w:cs="Arial"/>
          <w:color w:val="000000" w:themeColor="text1"/>
          <w:sz w:val="22"/>
          <w:szCs w:val="22"/>
        </w:rPr>
        <w:t xml:space="preserve">a </w:t>
      </w:r>
      <w:hyperlink w:anchor="_Glossary" w:tooltip="Policies or procedures that meet or exceed requirements set out in relevant Codes of Practice and/or recognised industry standard." w:history="1">
        <w:r w:rsidRPr="0018581E">
          <w:rPr>
            <w:rStyle w:val="Hyperlink"/>
            <w:rFonts w:ascii="Arial" w:hAnsi="Arial" w:cs="Arial"/>
            <w:color w:val="000000" w:themeColor="text1"/>
            <w:sz w:val="22"/>
            <w:szCs w:val="22"/>
          </w:rPr>
          <w:t>best practice</w:t>
        </w:r>
      </w:hyperlink>
      <w:r w:rsidRPr="0018581E">
        <w:rPr>
          <w:rFonts w:ascii="Arial" w:hAnsi="Arial" w:cs="Arial"/>
          <w:sz w:val="22"/>
          <w:szCs w:val="22"/>
        </w:rPr>
        <w:t xml:space="preserve"> health and safety culture by providing the framework for a safe and healthy workplace</w:t>
      </w:r>
      <w:r w:rsidR="00D94688">
        <w:rPr>
          <w:rFonts w:ascii="Arial" w:hAnsi="Arial" w:cs="Arial"/>
          <w:sz w:val="22"/>
          <w:szCs w:val="22"/>
        </w:rPr>
        <w:t>;</w:t>
      </w:r>
    </w:p>
    <w:p w14:paraId="1D86FFA5" w14:textId="5F58CCB5" w:rsidR="00A77FA6" w:rsidRPr="00EA7FF3" w:rsidRDefault="00A77FA6" w:rsidP="00A77FA6">
      <w:pPr>
        <w:pStyle w:val="ListParagraph"/>
        <w:numPr>
          <w:ilvl w:val="0"/>
          <w:numId w:val="2"/>
        </w:numPr>
        <w:ind w:left="714" w:hanging="357"/>
        <w:rPr>
          <w:rFonts w:ascii="Arial" w:hAnsi="Arial" w:cs="Arial"/>
          <w:sz w:val="22"/>
          <w:szCs w:val="22"/>
        </w:rPr>
      </w:pPr>
      <w:r w:rsidRPr="0018581E">
        <w:rPr>
          <w:rFonts w:ascii="Arial" w:hAnsi="Arial" w:cs="Arial"/>
          <w:sz w:val="22"/>
          <w:szCs w:val="22"/>
        </w:rPr>
        <w:t xml:space="preserve">improve health and wellness of </w:t>
      </w:r>
      <w:r w:rsidRPr="00EA7FF3">
        <w:rPr>
          <w:rFonts w:ascii="Arial" w:hAnsi="Arial" w:cs="Arial"/>
          <w:sz w:val="22"/>
          <w:szCs w:val="22"/>
        </w:rPr>
        <w:t xml:space="preserve">workers through </w:t>
      </w:r>
      <w:r w:rsidR="00261D70">
        <w:rPr>
          <w:rFonts w:ascii="Arial" w:hAnsi="Arial" w:cs="Arial"/>
          <w:sz w:val="22"/>
          <w:szCs w:val="22"/>
        </w:rPr>
        <w:t>the Agency</w:t>
      </w:r>
      <w:r w:rsidR="00EA7FF3" w:rsidRPr="003B2FA8">
        <w:rPr>
          <w:rFonts w:ascii="Arial" w:hAnsi="Arial" w:cs="Arial"/>
          <w:sz w:val="22"/>
          <w:szCs w:val="22"/>
        </w:rPr>
        <w:t>’s</w:t>
      </w:r>
      <w:r w:rsidR="008F5811" w:rsidRPr="00EA7FF3">
        <w:rPr>
          <w:rFonts w:ascii="Arial" w:hAnsi="Arial" w:cs="Arial"/>
          <w:sz w:val="22"/>
          <w:szCs w:val="22"/>
        </w:rPr>
        <w:t xml:space="preserve"> </w:t>
      </w:r>
      <w:r w:rsidRPr="00EA7FF3">
        <w:rPr>
          <w:rFonts w:ascii="Arial" w:hAnsi="Arial" w:cs="Arial"/>
          <w:sz w:val="22"/>
          <w:szCs w:val="22"/>
        </w:rPr>
        <w:t xml:space="preserve">health and wellbeing </w:t>
      </w:r>
      <w:proofErr w:type="gramStart"/>
      <w:r w:rsidRPr="00EA7FF3">
        <w:rPr>
          <w:rFonts w:ascii="Arial" w:hAnsi="Arial" w:cs="Arial"/>
          <w:sz w:val="22"/>
          <w:szCs w:val="22"/>
        </w:rPr>
        <w:t>program</w:t>
      </w:r>
      <w:r w:rsidR="00D94688">
        <w:rPr>
          <w:rFonts w:ascii="Arial" w:hAnsi="Arial" w:cs="Arial"/>
          <w:sz w:val="22"/>
          <w:szCs w:val="22"/>
        </w:rPr>
        <w:t>;</w:t>
      </w:r>
      <w:proofErr w:type="gramEnd"/>
    </w:p>
    <w:p w14:paraId="5F0A295E" w14:textId="77777777" w:rsidR="00A77FA6" w:rsidRPr="0018581E" w:rsidRDefault="00A77FA6" w:rsidP="00A77FA6">
      <w:pPr>
        <w:pStyle w:val="ListParagraph"/>
        <w:numPr>
          <w:ilvl w:val="0"/>
          <w:numId w:val="2"/>
        </w:numPr>
        <w:ind w:left="714" w:hanging="357"/>
        <w:rPr>
          <w:rFonts w:ascii="Arial" w:hAnsi="Arial" w:cs="Arial"/>
          <w:sz w:val="22"/>
          <w:szCs w:val="22"/>
        </w:rPr>
      </w:pPr>
      <w:r w:rsidRPr="0018581E">
        <w:rPr>
          <w:rFonts w:ascii="Arial" w:hAnsi="Arial" w:cs="Arial"/>
          <w:sz w:val="22"/>
          <w:szCs w:val="22"/>
        </w:rPr>
        <w:t xml:space="preserve">lower the rate of </w:t>
      </w:r>
      <w:r>
        <w:rPr>
          <w:rFonts w:ascii="Arial" w:hAnsi="Arial" w:cs="Arial"/>
          <w:sz w:val="22"/>
          <w:szCs w:val="22"/>
        </w:rPr>
        <w:t xml:space="preserve">potential </w:t>
      </w:r>
      <w:r w:rsidRPr="0018581E">
        <w:rPr>
          <w:rFonts w:ascii="Arial" w:hAnsi="Arial" w:cs="Arial"/>
          <w:sz w:val="22"/>
          <w:szCs w:val="22"/>
        </w:rPr>
        <w:t>inciden</w:t>
      </w:r>
      <w:r>
        <w:rPr>
          <w:rFonts w:ascii="Arial" w:hAnsi="Arial" w:cs="Arial"/>
          <w:sz w:val="22"/>
          <w:szCs w:val="22"/>
        </w:rPr>
        <w:t>ts</w:t>
      </w:r>
      <w:r w:rsidRPr="0018581E">
        <w:rPr>
          <w:rFonts w:ascii="Arial" w:hAnsi="Arial" w:cs="Arial"/>
          <w:sz w:val="22"/>
          <w:szCs w:val="22"/>
        </w:rPr>
        <w:t xml:space="preserve"> o</w:t>
      </w:r>
      <w:r>
        <w:rPr>
          <w:rFonts w:ascii="Arial" w:hAnsi="Arial" w:cs="Arial"/>
          <w:sz w:val="22"/>
          <w:szCs w:val="22"/>
        </w:rPr>
        <w:t>f</w:t>
      </w:r>
      <w:r w:rsidRPr="0018581E">
        <w:rPr>
          <w:rFonts w:ascii="Arial" w:hAnsi="Arial" w:cs="Arial"/>
          <w:sz w:val="22"/>
          <w:szCs w:val="22"/>
        </w:rPr>
        <w:t xml:space="preserve"> injury, illness and death through effective injury prevention practices</w:t>
      </w:r>
      <w:r w:rsidR="00D94688">
        <w:rPr>
          <w:rFonts w:ascii="Arial" w:hAnsi="Arial" w:cs="Arial"/>
          <w:sz w:val="22"/>
          <w:szCs w:val="22"/>
        </w:rPr>
        <w:t>; and</w:t>
      </w:r>
    </w:p>
    <w:p w14:paraId="23E1DF7B" w14:textId="77777777" w:rsidR="00A77FA6" w:rsidRPr="0018581E" w:rsidRDefault="00A77FA6" w:rsidP="00A77FA6">
      <w:pPr>
        <w:pStyle w:val="ListParagraph"/>
        <w:numPr>
          <w:ilvl w:val="0"/>
          <w:numId w:val="2"/>
        </w:numPr>
        <w:ind w:left="714" w:hanging="357"/>
        <w:rPr>
          <w:rFonts w:ascii="Arial" w:hAnsi="Arial" w:cs="Arial"/>
          <w:sz w:val="22"/>
          <w:szCs w:val="22"/>
        </w:rPr>
      </w:pPr>
      <w:r w:rsidRPr="0018581E">
        <w:rPr>
          <w:rFonts w:ascii="Arial" w:hAnsi="Arial" w:cs="Arial"/>
          <w:sz w:val="22"/>
          <w:szCs w:val="22"/>
        </w:rPr>
        <w:t>reduce impact of workplace injury and illness by application of early intervention strategies.</w:t>
      </w:r>
    </w:p>
    <w:p w14:paraId="2B472D7A" w14:textId="77777777" w:rsidR="00A77FA6" w:rsidRPr="0018581E" w:rsidRDefault="00A77FA6" w:rsidP="00A77FA6">
      <w:pPr>
        <w:rPr>
          <w:rFonts w:ascii="Arial" w:hAnsi="Arial" w:cs="Arial"/>
        </w:rPr>
      </w:pPr>
    </w:p>
    <w:p w14:paraId="64A87936" w14:textId="6504F78D" w:rsidR="00A77FA6" w:rsidRDefault="00A77FA6" w:rsidP="00A77FA6">
      <w:pPr>
        <w:rPr>
          <w:rFonts w:ascii="Arial" w:hAnsi="Arial" w:cs="Arial"/>
        </w:rPr>
      </w:pPr>
      <w:r w:rsidRPr="0018581E">
        <w:rPr>
          <w:rFonts w:ascii="Arial" w:hAnsi="Arial" w:cs="Arial"/>
        </w:rPr>
        <w:t xml:space="preserve">Meeting the above will satisfy legislative obligations and assist </w:t>
      </w:r>
      <w:r w:rsidR="00261D70">
        <w:rPr>
          <w:rFonts w:ascii="Arial" w:hAnsi="Arial" w:cs="Arial"/>
        </w:rPr>
        <w:t>the Agency</w:t>
      </w:r>
      <w:r w:rsidRPr="0018581E">
        <w:rPr>
          <w:rFonts w:ascii="Arial" w:hAnsi="Arial" w:cs="Arial"/>
        </w:rPr>
        <w:t xml:space="preserve"> to meet Safe Work Australia’s National </w:t>
      </w:r>
      <w:r>
        <w:rPr>
          <w:rFonts w:ascii="Arial" w:hAnsi="Arial" w:cs="Arial"/>
        </w:rPr>
        <w:t>W</w:t>
      </w:r>
      <w:r w:rsidRPr="0018581E">
        <w:rPr>
          <w:rFonts w:ascii="Arial" w:hAnsi="Arial" w:cs="Arial"/>
        </w:rPr>
        <w:t xml:space="preserve">HS </w:t>
      </w:r>
      <w:r>
        <w:rPr>
          <w:rFonts w:ascii="Arial" w:hAnsi="Arial" w:cs="Arial"/>
        </w:rPr>
        <w:t>Policy</w:t>
      </w:r>
      <w:r w:rsidRPr="0018581E">
        <w:rPr>
          <w:rFonts w:ascii="Arial" w:hAnsi="Arial" w:cs="Arial"/>
        </w:rPr>
        <w:t xml:space="preserve"> targets.</w:t>
      </w:r>
    </w:p>
    <w:p w14:paraId="2E3EE8EE" w14:textId="77777777" w:rsidR="00453674" w:rsidRDefault="00453674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3E7AC3E9" w14:textId="77777777" w:rsidR="00A77FA6" w:rsidRPr="0018581E" w:rsidRDefault="00A77FA6" w:rsidP="00A77FA6">
      <w:pPr>
        <w:pStyle w:val="Heading1"/>
      </w:pPr>
      <w:bookmarkStart w:id="8" w:name="_Toc312155468"/>
      <w:bookmarkStart w:id="9" w:name="_Toc444504596"/>
      <w:bookmarkStart w:id="10" w:name="_Toc58242955"/>
      <w:r w:rsidRPr="0018581E">
        <w:lastRenderedPageBreak/>
        <w:t>Legislative Obligations</w:t>
      </w:r>
      <w:bookmarkEnd w:id="8"/>
      <w:bookmarkEnd w:id="9"/>
      <w:bookmarkEnd w:id="10"/>
    </w:p>
    <w:p w14:paraId="06BA8622" w14:textId="5206B45A" w:rsidR="00A77FA6" w:rsidRPr="0018581E" w:rsidRDefault="00A77FA6" w:rsidP="00A77FA6">
      <w:pPr>
        <w:rPr>
          <w:rFonts w:ascii="Arial" w:hAnsi="Arial" w:cs="Arial"/>
          <w:color w:val="000000" w:themeColor="text1"/>
        </w:rPr>
      </w:pPr>
      <w:r w:rsidRPr="0018581E">
        <w:rPr>
          <w:rFonts w:ascii="Arial" w:hAnsi="Arial" w:cs="Arial"/>
          <w:color w:val="000000" w:themeColor="text1"/>
        </w:rPr>
        <w:t xml:space="preserve">Health and safety in the Commonwealth </w:t>
      </w:r>
      <w:r w:rsidRPr="001D6D24">
        <w:rPr>
          <w:rFonts w:ascii="Arial" w:hAnsi="Arial" w:cs="Arial"/>
          <w:color w:val="000000" w:themeColor="text1"/>
        </w:rPr>
        <w:t>is</w:t>
      </w:r>
      <w:r w:rsidRPr="0018581E">
        <w:rPr>
          <w:rFonts w:ascii="Arial" w:hAnsi="Arial" w:cs="Arial"/>
          <w:color w:val="000000" w:themeColor="text1"/>
        </w:rPr>
        <w:t xml:space="preserve"> governed by the </w:t>
      </w:r>
      <w:hyperlink r:id="rId11" w:history="1">
        <w:r w:rsidRPr="003B2FA8">
          <w:rPr>
            <w:rStyle w:val="Hyperlink"/>
            <w:rFonts w:ascii="Arial" w:hAnsi="Arial" w:cs="Arial"/>
          </w:rPr>
          <w:t>Work Health and Safety (WHS) Act 2011</w:t>
        </w:r>
      </w:hyperlink>
      <w:r w:rsidRPr="001D6D24">
        <w:rPr>
          <w:rFonts w:ascii="Arial" w:hAnsi="Arial" w:cs="Arial"/>
          <w:color w:val="000000" w:themeColor="text1"/>
        </w:rPr>
        <w:t>,</w:t>
      </w:r>
      <w:r w:rsidRPr="0018581E">
        <w:rPr>
          <w:rFonts w:ascii="Arial" w:hAnsi="Arial" w:cs="Arial"/>
          <w:color w:val="000000" w:themeColor="text1"/>
        </w:rPr>
        <w:t xml:space="preserve"> </w:t>
      </w:r>
      <w:hyperlink r:id="rId12" w:history="1">
        <w:r w:rsidR="001D6D24" w:rsidRPr="001D6D24">
          <w:rPr>
            <w:rStyle w:val="Hyperlink"/>
            <w:rFonts w:ascii="Arial" w:hAnsi="Arial" w:cs="Arial"/>
          </w:rPr>
          <w:t>WHS Regulations 2011</w:t>
        </w:r>
      </w:hyperlink>
      <w:r w:rsidRPr="0018581E">
        <w:rPr>
          <w:rFonts w:ascii="Arial" w:hAnsi="Arial" w:cs="Arial"/>
          <w:color w:val="000000" w:themeColor="text1"/>
        </w:rPr>
        <w:t xml:space="preserve">and other legislative instruments, for example </w:t>
      </w:r>
      <w:hyperlink r:id="rId13" w:history="1">
        <w:r w:rsidRPr="00D53697">
          <w:rPr>
            <w:rStyle w:val="Hyperlink"/>
            <w:rFonts w:ascii="Arial" w:hAnsi="Arial" w:cs="Arial"/>
          </w:rPr>
          <w:t>Codes of Practice</w:t>
        </w:r>
      </w:hyperlink>
      <w:r w:rsidRPr="0018581E">
        <w:rPr>
          <w:rFonts w:ascii="Arial" w:hAnsi="Arial" w:cs="Arial"/>
          <w:color w:val="000000" w:themeColor="text1"/>
        </w:rPr>
        <w:t>, as determined by Comcare.</w:t>
      </w:r>
    </w:p>
    <w:p w14:paraId="3CB87A94" w14:textId="2FF30B7D" w:rsidR="00A77FA6" w:rsidRDefault="00A77FA6" w:rsidP="00A77FA6">
      <w:pPr>
        <w:rPr>
          <w:rFonts w:ascii="Arial" w:hAnsi="Arial" w:cs="Arial"/>
          <w:color w:val="000000" w:themeColor="text1"/>
        </w:rPr>
      </w:pPr>
      <w:r w:rsidRPr="0018581E">
        <w:rPr>
          <w:rFonts w:ascii="Arial" w:hAnsi="Arial" w:cs="Arial"/>
          <w:color w:val="000000" w:themeColor="text1"/>
        </w:rPr>
        <w:t xml:space="preserve">Under the WHS Act, </w:t>
      </w:r>
      <w:r w:rsidR="00261D70">
        <w:rPr>
          <w:rFonts w:ascii="Arial" w:hAnsi="Arial" w:cs="Arial"/>
          <w:color w:val="000000" w:themeColor="text1"/>
        </w:rPr>
        <w:t>the Agency</w:t>
      </w:r>
      <w:r w:rsidRPr="0018581E">
        <w:rPr>
          <w:rFonts w:ascii="Arial" w:hAnsi="Arial" w:cs="Arial"/>
          <w:color w:val="000000" w:themeColor="text1"/>
        </w:rPr>
        <w:t xml:space="preserve"> is a </w:t>
      </w:r>
      <w:r w:rsidR="00067834" w:rsidRPr="00261D70">
        <w:rPr>
          <w:rFonts w:ascii="Arial" w:hAnsi="Arial" w:cs="Arial"/>
          <w:color w:val="000000" w:themeColor="text1"/>
        </w:rPr>
        <w:t>Person Conducting a Business or Undertaking (</w:t>
      </w:r>
      <w:r w:rsidR="00067834">
        <w:rPr>
          <w:rFonts w:ascii="Arial" w:hAnsi="Arial" w:cs="Arial"/>
        </w:rPr>
        <w:t>PCBU)</w:t>
      </w:r>
      <w:r w:rsidRPr="0018581E">
        <w:rPr>
          <w:rFonts w:ascii="Arial" w:hAnsi="Arial" w:cs="Arial"/>
          <w:i/>
          <w:color w:val="000000" w:themeColor="text1"/>
        </w:rPr>
        <w:t xml:space="preserve"> </w:t>
      </w:r>
      <w:r w:rsidRPr="0018581E">
        <w:rPr>
          <w:rFonts w:ascii="Arial" w:hAnsi="Arial" w:cs="Arial"/>
          <w:color w:val="000000" w:themeColor="text1"/>
        </w:rPr>
        <w:t xml:space="preserve">and has the primary </w:t>
      </w:r>
      <w:r w:rsidR="00DD28BC" w:rsidRPr="003B2FA8">
        <w:t>duty of care</w:t>
      </w:r>
      <w:r w:rsidRPr="0018581E">
        <w:rPr>
          <w:rFonts w:ascii="Arial" w:hAnsi="Arial" w:cs="Arial"/>
          <w:color w:val="000000" w:themeColor="text1"/>
        </w:rPr>
        <w:t xml:space="preserve"> for the health and safety of all employees, contractors</w:t>
      </w:r>
      <w:r>
        <w:rPr>
          <w:rFonts w:ascii="Arial" w:hAnsi="Arial" w:cs="Arial"/>
          <w:color w:val="000000" w:themeColor="text1"/>
        </w:rPr>
        <w:t>, volunteers</w:t>
      </w:r>
      <w:r w:rsidRPr="0018581E">
        <w:rPr>
          <w:rFonts w:ascii="Arial" w:hAnsi="Arial" w:cs="Arial"/>
          <w:color w:val="000000" w:themeColor="text1"/>
        </w:rPr>
        <w:t xml:space="preserve"> and visitors.  </w:t>
      </w:r>
    </w:p>
    <w:p w14:paraId="0C434A66" w14:textId="77777777" w:rsidR="00955029" w:rsidRDefault="00955029" w:rsidP="00955029">
      <w:pPr>
        <w:pStyle w:val="Heading1"/>
      </w:pPr>
      <w:bookmarkStart w:id="11" w:name="_Toc529177144"/>
      <w:bookmarkStart w:id="12" w:name="_Toc58242956"/>
      <w:r>
        <w:t>Discriminatory, Coercive and Misleading conduct</w:t>
      </w:r>
      <w:bookmarkEnd w:id="11"/>
      <w:bookmarkEnd w:id="12"/>
    </w:p>
    <w:p w14:paraId="0C89DB3D" w14:textId="4923CF80" w:rsidR="00955029" w:rsidRDefault="00955029" w:rsidP="00955029">
      <w:pPr>
        <w:rPr>
          <w:rFonts w:ascii="Arial" w:hAnsi="Arial" w:cs="Arial"/>
        </w:rPr>
      </w:pPr>
      <w:r>
        <w:rPr>
          <w:rFonts w:ascii="Arial" w:hAnsi="Arial" w:cs="Arial"/>
        </w:rPr>
        <w:t xml:space="preserve">Under the provisions of Part 6 </w:t>
      </w:r>
      <w:r w:rsidR="00264E81">
        <w:rPr>
          <w:rFonts w:ascii="Arial" w:hAnsi="Arial" w:cs="Arial"/>
        </w:rPr>
        <w:t>o</w:t>
      </w:r>
      <w:r>
        <w:rPr>
          <w:rFonts w:ascii="Arial" w:hAnsi="Arial" w:cs="Arial"/>
        </w:rPr>
        <w:t>f the WHS Act</w:t>
      </w:r>
      <w:r w:rsidR="00264E81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workers are protected from being subject to discriminatory, coercive or misleading conduct in relation to exercising their rights under the WHS Act to protect themselves in the workplace.</w:t>
      </w:r>
    </w:p>
    <w:p w14:paraId="1FAC5EC5" w14:textId="3ECE5133" w:rsidR="00955029" w:rsidRPr="00714367" w:rsidRDefault="00955029" w:rsidP="00955029">
      <w:pPr>
        <w:rPr>
          <w:rFonts w:ascii="Arial" w:hAnsi="Arial" w:cs="Arial"/>
        </w:rPr>
      </w:pPr>
      <w:r>
        <w:rPr>
          <w:rFonts w:ascii="Arial" w:hAnsi="Arial" w:cs="Arial"/>
        </w:rPr>
        <w:t xml:space="preserve">Under these provisions, </w:t>
      </w:r>
      <w:r w:rsidR="00261D70">
        <w:rPr>
          <w:rFonts w:ascii="Arial" w:hAnsi="Arial" w:cs="Arial"/>
        </w:rPr>
        <w:t>the Agency</w:t>
      </w:r>
      <w:r>
        <w:rPr>
          <w:rFonts w:ascii="Arial" w:hAnsi="Arial" w:cs="Arial"/>
        </w:rPr>
        <w:t xml:space="preserve"> undertakes not to take discriminatory action against any worker who exercises their rights under the WHS Act to cease or refuse work on safety grounds. </w:t>
      </w:r>
      <w:proofErr w:type="gramStart"/>
      <w:r>
        <w:rPr>
          <w:rFonts w:ascii="Arial" w:hAnsi="Arial" w:cs="Arial"/>
        </w:rPr>
        <w:t>Similarly</w:t>
      </w:r>
      <w:proofErr w:type="gramEnd"/>
      <w:r>
        <w:rPr>
          <w:rFonts w:ascii="Arial" w:hAnsi="Arial" w:cs="Arial"/>
        </w:rPr>
        <w:t xml:space="preserve"> </w:t>
      </w:r>
      <w:r w:rsidR="00261D70">
        <w:rPr>
          <w:rFonts w:ascii="Arial" w:hAnsi="Arial" w:cs="Arial"/>
        </w:rPr>
        <w:t>the Agency</w:t>
      </w:r>
      <w:r>
        <w:rPr>
          <w:rFonts w:ascii="Arial" w:hAnsi="Arial" w:cs="Arial"/>
        </w:rPr>
        <w:t xml:space="preserve"> will not try to coerce any worker who has exercise</w:t>
      </w:r>
      <w:r w:rsidR="00264E81">
        <w:rPr>
          <w:rFonts w:ascii="Arial" w:hAnsi="Arial" w:cs="Arial"/>
        </w:rPr>
        <w:t>d</w:t>
      </w:r>
      <w:r>
        <w:rPr>
          <w:rFonts w:ascii="Arial" w:hAnsi="Arial" w:cs="Arial"/>
        </w:rPr>
        <w:t xml:space="preserve"> such rights into changing their position without addressing the underlying issue that has been raised and will not provide any misleading information in order to influence the workers position.</w:t>
      </w:r>
    </w:p>
    <w:p w14:paraId="32BC7A78" w14:textId="77777777" w:rsidR="00955029" w:rsidRPr="00656A41" w:rsidRDefault="00955029" w:rsidP="00955029">
      <w:pPr>
        <w:pStyle w:val="Heading1"/>
      </w:pPr>
      <w:bookmarkStart w:id="13" w:name="_Toc529177140"/>
      <w:bookmarkStart w:id="14" w:name="_Toc58242957"/>
      <w:r w:rsidRPr="00656A41">
        <w:t xml:space="preserve">Right to </w:t>
      </w:r>
      <w:r>
        <w:t>Cease Work</w:t>
      </w:r>
      <w:bookmarkEnd w:id="13"/>
      <w:bookmarkEnd w:id="14"/>
    </w:p>
    <w:p w14:paraId="0473D330" w14:textId="77777777" w:rsidR="00261D70" w:rsidRDefault="00955029" w:rsidP="00955029">
      <w:pPr>
        <w:rPr>
          <w:rFonts w:ascii="Arial" w:hAnsi="Arial" w:cs="Arial"/>
        </w:rPr>
      </w:pPr>
      <w:r>
        <w:rPr>
          <w:rFonts w:ascii="Arial" w:hAnsi="Arial" w:cs="Arial"/>
        </w:rPr>
        <w:t xml:space="preserve">Every worker, under the provision outlined in </w:t>
      </w:r>
      <w:r w:rsidR="009057FB">
        <w:rPr>
          <w:rFonts w:ascii="Arial" w:hAnsi="Arial" w:cs="Arial"/>
        </w:rPr>
        <w:t xml:space="preserve">Part </w:t>
      </w:r>
      <w:r>
        <w:rPr>
          <w:rFonts w:ascii="Arial" w:hAnsi="Arial" w:cs="Arial"/>
        </w:rPr>
        <w:t xml:space="preserve">6 of the WHS Act has the right to </w:t>
      </w:r>
      <w:r w:rsidR="00E27F5F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ase work, or refuse to carry out work, if the worker </w:t>
      </w:r>
      <w:proofErr w:type="gramStart"/>
      <w:r>
        <w:rPr>
          <w:rFonts w:ascii="Arial" w:hAnsi="Arial" w:cs="Arial"/>
        </w:rPr>
        <w:t>has</w:t>
      </w:r>
      <w:proofErr w:type="gramEnd"/>
      <w:r>
        <w:rPr>
          <w:rFonts w:ascii="Arial" w:hAnsi="Arial" w:cs="Arial"/>
        </w:rPr>
        <w:t xml:space="preserve"> a reasonable concern that the work would expose them to a serious risk to their health and safety.</w:t>
      </w:r>
    </w:p>
    <w:p w14:paraId="06C6AF7F" w14:textId="505AA718" w:rsidR="00955029" w:rsidRDefault="00261D70" w:rsidP="00955029">
      <w:pPr>
        <w:rPr>
          <w:rFonts w:ascii="Arial" w:hAnsi="Arial" w:cs="Arial"/>
        </w:rPr>
      </w:pPr>
      <w:r>
        <w:rPr>
          <w:rFonts w:ascii="Arial" w:hAnsi="Arial" w:cs="Arial"/>
        </w:rPr>
        <w:t>The Agency</w:t>
      </w:r>
      <w:r w:rsidR="00955029">
        <w:rPr>
          <w:rFonts w:ascii="Arial" w:hAnsi="Arial" w:cs="Arial"/>
        </w:rPr>
        <w:t xml:space="preserve"> will respect this right under all circumstances and will take whatever action that it reasonably and practicably can to address the issue of concern as soon as it is </w:t>
      </w:r>
      <w:proofErr w:type="gramStart"/>
      <w:r w:rsidR="00955029">
        <w:rPr>
          <w:rFonts w:ascii="Arial" w:hAnsi="Arial" w:cs="Arial"/>
        </w:rPr>
        <w:t>raised, and</w:t>
      </w:r>
      <w:proofErr w:type="gramEnd"/>
      <w:r w:rsidR="00955029">
        <w:rPr>
          <w:rFonts w:ascii="Arial" w:hAnsi="Arial" w:cs="Arial"/>
        </w:rPr>
        <w:t xml:space="preserve"> will not order workers to place themselves at risk in the workplace.</w:t>
      </w:r>
    </w:p>
    <w:p w14:paraId="0F475908" w14:textId="77777777" w:rsidR="00954BF2" w:rsidRDefault="00954BF2" w:rsidP="00954BF2">
      <w:pPr>
        <w:pStyle w:val="Heading1"/>
      </w:pPr>
      <w:bookmarkStart w:id="15" w:name="_Toc58242958"/>
      <w:r>
        <w:t>Implementation</w:t>
      </w:r>
      <w:bookmarkEnd w:id="15"/>
    </w:p>
    <w:p w14:paraId="3F2F3CBB" w14:textId="44111873" w:rsidR="00954BF2" w:rsidRPr="0018581E" w:rsidRDefault="00954BF2" w:rsidP="00A77FA6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To facilitate the implementation of the WHS Policy a supporting set of guidelines have been developed and are published for all workers of </w:t>
      </w:r>
      <w:r w:rsidR="00261D70">
        <w:rPr>
          <w:rFonts w:ascii="Arial" w:hAnsi="Arial" w:cs="Arial"/>
          <w:color w:val="000000" w:themeColor="text1"/>
        </w:rPr>
        <w:t>the Agency</w:t>
      </w:r>
      <w:r>
        <w:rPr>
          <w:rFonts w:ascii="Arial" w:hAnsi="Arial" w:cs="Arial"/>
          <w:color w:val="000000" w:themeColor="text1"/>
        </w:rPr>
        <w:t xml:space="preserve"> under the title ‘Work Health and Safety Procedures</w:t>
      </w:r>
      <w:r w:rsidR="004C1146">
        <w:rPr>
          <w:rFonts w:ascii="Arial" w:hAnsi="Arial" w:cs="Arial"/>
          <w:color w:val="000000" w:themeColor="text1"/>
        </w:rPr>
        <w:t>.</w:t>
      </w:r>
      <w:r>
        <w:rPr>
          <w:rFonts w:ascii="Arial" w:hAnsi="Arial" w:cs="Arial"/>
          <w:color w:val="000000" w:themeColor="text1"/>
        </w:rPr>
        <w:t>’</w:t>
      </w:r>
    </w:p>
    <w:sectPr w:rsidR="00954BF2" w:rsidRPr="0018581E" w:rsidSect="006E63F5">
      <w:footerReference w:type="default" r:id="rId14"/>
      <w:footerReference w:type="first" r:id="rId15"/>
      <w:pgSz w:w="11906" w:h="16838"/>
      <w:pgMar w:top="1440" w:right="1440" w:bottom="1440" w:left="144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03E147" w14:textId="77777777" w:rsidR="00571B06" w:rsidRDefault="00571B06" w:rsidP="00954BF2">
      <w:pPr>
        <w:spacing w:after="0" w:line="240" w:lineRule="auto"/>
      </w:pPr>
      <w:r>
        <w:separator/>
      </w:r>
    </w:p>
  </w:endnote>
  <w:endnote w:type="continuationSeparator" w:id="0">
    <w:p w14:paraId="242EFCF5" w14:textId="77777777" w:rsidR="00571B06" w:rsidRDefault="00571B06" w:rsidP="00954B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2059F5" w14:textId="5DF15537" w:rsidR="004B2097" w:rsidRPr="004B2097" w:rsidRDefault="00FE26DF">
    <w:pPr>
      <w:pStyle w:val="Foo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Work Health </w:t>
    </w:r>
    <w:r w:rsidR="00A32C14">
      <w:rPr>
        <w:rFonts w:ascii="Arial" w:hAnsi="Arial" w:cs="Arial"/>
        <w:sz w:val="18"/>
        <w:szCs w:val="18"/>
      </w:rPr>
      <w:t>and</w:t>
    </w:r>
    <w:r>
      <w:rPr>
        <w:rFonts w:ascii="Arial" w:hAnsi="Arial" w:cs="Arial"/>
        <w:sz w:val="18"/>
        <w:szCs w:val="18"/>
      </w:rPr>
      <w:t xml:space="preserve"> Safety Policy</w:t>
    </w:r>
    <w:r>
      <w:rPr>
        <w:rFonts w:ascii="Arial" w:hAnsi="Arial" w:cs="Arial"/>
        <w:sz w:val="18"/>
        <w:szCs w:val="18"/>
      </w:rPr>
      <w:tab/>
    </w:r>
    <w:r w:rsidR="00160E1A">
      <w:rPr>
        <w:rFonts w:ascii="Arial" w:hAnsi="Arial" w:cs="Arial"/>
        <w:sz w:val="18"/>
        <w:szCs w:val="18"/>
      </w:rPr>
      <w:t>January 2021</w:t>
    </w:r>
    <w:r w:rsidR="004B2097" w:rsidRPr="004B2097">
      <w:rPr>
        <w:rFonts w:ascii="Arial" w:hAnsi="Arial" w:cs="Arial"/>
        <w:sz w:val="18"/>
        <w:szCs w:val="18"/>
      </w:rPr>
      <w:tab/>
    </w:r>
    <w:r w:rsidR="004B2097" w:rsidRPr="004B2097">
      <w:rPr>
        <w:rFonts w:ascii="Arial" w:hAnsi="Arial" w:cs="Arial"/>
        <w:sz w:val="18"/>
        <w:szCs w:val="18"/>
      </w:rPr>
      <w:fldChar w:fldCharType="begin"/>
    </w:r>
    <w:r w:rsidR="004B2097" w:rsidRPr="004B2097">
      <w:rPr>
        <w:rFonts w:ascii="Arial" w:hAnsi="Arial" w:cs="Arial"/>
        <w:sz w:val="18"/>
        <w:szCs w:val="18"/>
      </w:rPr>
      <w:instrText xml:space="preserve"> PAGE   \* MERGEFORMAT </w:instrText>
    </w:r>
    <w:r w:rsidR="004B2097" w:rsidRPr="004B2097">
      <w:rPr>
        <w:rFonts w:ascii="Arial" w:hAnsi="Arial" w:cs="Arial"/>
        <w:sz w:val="18"/>
        <w:szCs w:val="18"/>
      </w:rPr>
      <w:fldChar w:fldCharType="separate"/>
    </w:r>
    <w:r w:rsidR="00EB7BC0">
      <w:rPr>
        <w:rFonts w:ascii="Arial" w:hAnsi="Arial" w:cs="Arial"/>
        <w:noProof/>
        <w:sz w:val="18"/>
        <w:szCs w:val="18"/>
      </w:rPr>
      <w:t>2</w:t>
    </w:r>
    <w:r w:rsidR="004B2097" w:rsidRPr="004B2097">
      <w:rPr>
        <w:rFonts w:ascii="Arial" w:hAnsi="Arial" w:cs="Arial"/>
        <w:noProof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7CAF8" w14:textId="77777777" w:rsidR="006E63F5" w:rsidRPr="006E63F5" w:rsidRDefault="006E63F5" w:rsidP="006E63F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9AE417" w14:textId="77777777" w:rsidR="00571B06" w:rsidRDefault="00571B06" w:rsidP="00954BF2">
      <w:pPr>
        <w:spacing w:after="0" w:line="240" w:lineRule="auto"/>
      </w:pPr>
      <w:r>
        <w:separator/>
      </w:r>
    </w:p>
  </w:footnote>
  <w:footnote w:type="continuationSeparator" w:id="0">
    <w:p w14:paraId="0CB8C63B" w14:textId="77777777" w:rsidR="00571B06" w:rsidRDefault="00571B06" w:rsidP="00954B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4B7CC9"/>
    <w:multiLevelType w:val="hybridMultilevel"/>
    <w:tmpl w:val="E1E011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6E2DD0"/>
    <w:multiLevelType w:val="hybridMultilevel"/>
    <w:tmpl w:val="79284E7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3334"/>
    <w:rsid w:val="00007390"/>
    <w:rsid w:val="00030D5A"/>
    <w:rsid w:val="00067834"/>
    <w:rsid w:val="000779BF"/>
    <w:rsid w:val="0008203F"/>
    <w:rsid w:val="000A31B0"/>
    <w:rsid w:val="00106678"/>
    <w:rsid w:val="00160E1A"/>
    <w:rsid w:val="0016559B"/>
    <w:rsid w:val="0017625C"/>
    <w:rsid w:val="00176A9A"/>
    <w:rsid w:val="001B3A8D"/>
    <w:rsid w:val="001D6D24"/>
    <w:rsid w:val="00261D70"/>
    <w:rsid w:val="00264E81"/>
    <w:rsid w:val="00287D21"/>
    <w:rsid w:val="00303E90"/>
    <w:rsid w:val="0032294D"/>
    <w:rsid w:val="00396BB3"/>
    <w:rsid w:val="003B2FA8"/>
    <w:rsid w:val="003E6994"/>
    <w:rsid w:val="00453674"/>
    <w:rsid w:val="00470DC5"/>
    <w:rsid w:val="004931E2"/>
    <w:rsid w:val="004B2097"/>
    <w:rsid w:val="004B3334"/>
    <w:rsid w:val="004C1146"/>
    <w:rsid w:val="004D4E24"/>
    <w:rsid w:val="005309AC"/>
    <w:rsid w:val="0053207E"/>
    <w:rsid w:val="00571B06"/>
    <w:rsid w:val="005959FD"/>
    <w:rsid w:val="00627914"/>
    <w:rsid w:val="006348C4"/>
    <w:rsid w:val="00674162"/>
    <w:rsid w:val="006B5378"/>
    <w:rsid w:val="006E63F5"/>
    <w:rsid w:val="007C5CA6"/>
    <w:rsid w:val="0084274A"/>
    <w:rsid w:val="008F5811"/>
    <w:rsid w:val="009057FB"/>
    <w:rsid w:val="00954BF2"/>
    <w:rsid w:val="00955029"/>
    <w:rsid w:val="009842CA"/>
    <w:rsid w:val="009B4BC3"/>
    <w:rsid w:val="009C0575"/>
    <w:rsid w:val="00A119DF"/>
    <w:rsid w:val="00A32C14"/>
    <w:rsid w:val="00A36872"/>
    <w:rsid w:val="00A77FA6"/>
    <w:rsid w:val="00A87205"/>
    <w:rsid w:val="00A965C7"/>
    <w:rsid w:val="00AD071D"/>
    <w:rsid w:val="00B83327"/>
    <w:rsid w:val="00BC79D1"/>
    <w:rsid w:val="00BE74EC"/>
    <w:rsid w:val="00C3453C"/>
    <w:rsid w:val="00C41294"/>
    <w:rsid w:val="00C42B9C"/>
    <w:rsid w:val="00C74A6E"/>
    <w:rsid w:val="00C84855"/>
    <w:rsid w:val="00D94688"/>
    <w:rsid w:val="00DD28BC"/>
    <w:rsid w:val="00E27F5F"/>
    <w:rsid w:val="00E51537"/>
    <w:rsid w:val="00EA7FF3"/>
    <w:rsid w:val="00EB690F"/>
    <w:rsid w:val="00EB7BC0"/>
    <w:rsid w:val="00ED0426"/>
    <w:rsid w:val="00FE2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463F091F"/>
  <w15:chartTrackingRefBased/>
  <w15:docId w15:val="{49DD64FB-F050-41ED-821C-429B4F4F4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qFormat/>
    <w:rsid w:val="00A77FA6"/>
    <w:pPr>
      <w:keepNext/>
      <w:spacing w:before="36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en-AU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5502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5502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B33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A77FA6"/>
    <w:rPr>
      <w:rFonts w:ascii="Arial" w:eastAsia="Times New Roman" w:hAnsi="Arial" w:cs="Arial"/>
      <w:b/>
      <w:bCs/>
      <w:kern w:val="32"/>
      <w:sz w:val="32"/>
      <w:szCs w:val="32"/>
      <w:lang w:eastAsia="en-AU"/>
    </w:rPr>
  </w:style>
  <w:style w:type="paragraph" w:styleId="ListParagraph">
    <w:name w:val="List Paragraph"/>
    <w:basedOn w:val="Normal"/>
    <w:link w:val="ListParagraphChar"/>
    <w:uiPriority w:val="34"/>
    <w:qFormat/>
    <w:rsid w:val="00A77FA6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Hyperlink">
    <w:name w:val="Hyperlink"/>
    <w:basedOn w:val="DefaultParagraphFont"/>
    <w:uiPriority w:val="99"/>
    <w:rsid w:val="00A77FA6"/>
    <w:rPr>
      <w:color w:val="0000FF"/>
      <w:u w:val="single"/>
    </w:rPr>
  </w:style>
  <w:style w:type="character" w:customStyle="1" w:styleId="ListParagraphChar">
    <w:name w:val="List Paragraph Char"/>
    <w:link w:val="ListParagraph"/>
    <w:uiPriority w:val="34"/>
    <w:locked/>
    <w:rsid w:val="00A77FA6"/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954B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4BF2"/>
  </w:style>
  <w:style w:type="paragraph" w:styleId="Footer">
    <w:name w:val="footer"/>
    <w:basedOn w:val="Normal"/>
    <w:link w:val="FooterChar"/>
    <w:uiPriority w:val="99"/>
    <w:unhideWhenUsed/>
    <w:rsid w:val="00954B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4BF2"/>
  </w:style>
  <w:style w:type="paragraph" w:styleId="TOCHeading">
    <w:name w:val="TOC Heading"/>
    <w:basedOn w:val="Heading1"/>
    <w:next w:val="Normal"/>
    <w:uiPriority w:val="39"/>
    <w:unhideWhenUsed/>
    <w:qFormat/>
    <w:rsid w:val="004C1146"/>
    <w:pPr>
      <w:keepLines/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4C1146"/>
    <w:pPr>
      <w:spacing w:after="100"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95502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5502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36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3674"/>
    <w:rPr>
      <w:rFonts w:ascii="Segoe UI" w:hAnsi="Segoe UI" w:cs="Segoe UI"/>
      <w:sz w:val="18"/>
      <w:szCs w:val="18"/>
    </w:rPr>
  </w:style>
  <w:style w:type="paragraph" w:customStyle="1" w:styleId="Tabletext">
    <w:name w:val="Table text"/>
    <w:basedOn w:val="Normal"/>
    <w:qFormat/>
    <w:rsid w:val="00B83327"/>
    <w:pPr>
      <w:spacing w:before="120" w:after="120" w:line="240" w:lineRule="auto"/>
    </w:pPr>
    <w:rPr>
      <w:rFonts w:ascii="Arial" w:hAnsi="Arial"/>
      <w:sz w:val="20"/>
      <w:szCs w:val="20"/>
    </w:rPr>
  </w:style>
  <w:style w:type="paragraph" w:customStyle="1" w:styleId="Tableheading">
    <w:name w:val="Table heading"/>
    <w:basedOn w:val="Normal"/>
    <w:qFormat/>
    <w:rsid w:val="00B83327"/>
    <w:pPr>
      <w:keepNext/>
      <w:spacing w:before="120" w:after="120" w:line="240" w:lineRule="auto"/>
    </w:pPr>
    <w:rPr>
      <w:rFonts w:ascii="Arial" w:hAnsi="Arial"/>
      <w:b/>
    </w:rPr>
  </w:style>
  <w:style w:type="character" w:styleId="FollowedHyperlink">
    <w:name w:val="FollowedHyperlink"/>
    <w:basedOn w:val="DefaultParagraphFont"/>
    <w:uiPriority w:val="99"/>
    <w:semiHidden/>
    <w:unhideWhenUsed/>
    <w:rsid w:val="00067834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279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2791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2791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79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791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5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legislation.gov.au/Browse/Results/ByTitle/LegislativeInstruments/InForce/W/13/0/principa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legislation.gov.au/Series/F2011L02664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legislation.gov.au/Details/C2018C00293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facilities@moadoph.gov.a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C44086-09E8-47AF-A5A0-D26524F1DF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793</Words>
  <Characters>4523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</dc:creator>
  <cp:keywords/>
  <dc:description/>
  <cp:lastModifiedBy>Kaye, Stephen</cp:lastModifiedBy>
  <cp:revision>3</cp:revision>
  <cp:lastPrinted>2018-11-21T22:06:00Z</cp:lastPrinted>
  <dcterms:created xsi:type="dcterms:W3CDTF">2021-05-03T04:33:00Z</dcterms:created>
  <dcterms:modified xsi:type="dcterms:W3CDTF">2021-08-04T04:16:00Z</dcterms:modified>
</cp:coreProperties>
</file>